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735E" w14:textId="74A462D3" w:rsidR="00B06DE4" w:rsidRDefault="002739E3" w:rsidP="008B647D">
      <w:r>
        <w:rPr>
          <w:i/>
        </w:rPr>
        <w:t>Presentation</w:t>
      </w:r>
      <w:r w:rsidR="008B647D" w:rsidRPr="00DB78C1">
        <w:rPr>
          <w:i/>
        </w:rPr>
        <w:t xml:space="preserve">: </w:t>
      </w:r>
      <w:r w:rsidR="008B647D" w:rsidRPr="00DB78C1">
        <w:rPr>
          <w:i/>
        </w:rPr>
        <w:br/>
      </w:r>
      <w:r w:rsidR="00D22D2C" w:rsidRPr="00D22D2C">
        <w:t>Advanced 529 Planning: 529-to-Roth, Dynasty 529, And Other HNW Opportunities</w:t>
      </w:r>
    </w:p>
    <w:p w14:paraId="10E0C06E" w14:textId="77777777" w:rsidR="008B647D" w:rsidRPr="0083149F" w:rsidRDefault="00B06DE4" w:rsidP="008B647D">
      <w:r w:rsidRPr="0083149F">
        <w:t xml:space="preserve"> </w:t>
      </w:r>
    </w:p>
    <w:p w14:paraId="064D6D59" w14:textId="77777777" w:rsidR="00417EE1" w:rsidRPr="00417EE1" w:rsidRDefault="008B647D" w:rsidP="00417EE1">
      <w:r w:rsidRPr="00DB78C1">
        <w:rPr>
          <w:i/>
        </w:rPr>
        <w:t xml:space="preserve">Presenter: </w:t>
      </w:r>
      <w:r w:rsidRPr="00DB78C1">
        <w:rPr>
          <w:i/>
        </w:rPr>
        <w:br/>
      </w:r>
      <w:r w:rsidR="00417EE1" w:rsidRPr="00417EE1">
        <w:t>Jeffrey Levine, CPA/PFS, CFP®, CWS®, MSA is the Director of Advisor Education for Kitces.com, a leading online resource for financial planning professionals, and also serves as the CEO and Director of Financial Planning for BluePrint Wealth Alliance LLC, a Registered Investment Adviser, where he drives the firm’s vision of delivering a unique, modern approach to the financial, tax and estate planning. Jeffrey is a recipient of the Standing Ovation award, presented by the AICPA Financial Planning Division for “exemplary professional achievement in personal financial planning services.” He was also named to the 2017 class of 40 Under 40 by InvestmentNews, which recognizes “accomplishment, contribution to the financial advice industry, leadership and promise for the future.” Jeffrey is a regular contributor to Forbes.com, numerous industry publications, and  is regularly sought after by journalists for his insights.</w:t>
      </w:r>
    </w:p>
    <w:p w14:paraId="1943094A" w14:textId="504F1E62" w:rsidR="00147352" w:rsidRPr="00265D73" w:rsidRDefault="00147352" w:rsidP="00147352"/>
    <w:p w14:paraId="3BC820BE" w14:textId="77777777" w:rsidR="008B647D" w:rsidRPr="0083149F" w:rsidRDefault="008B647D" w:rsidP="00147352"/>
    <w:p w14:paraId="079CF018" w14:textId="77777777" w:rsidR="008B647D" w:rsidRPr="00DB78C1" w:rsidRDefault="008B647D" w:rsidP="008B647D">
      <w:pPr>
        <w:rPr>
          <w:i/>
        </w:rPr>
      </w:pPr>
      <w:r w:rsidRPr="00DB78C1">
        <w:rPr>
          <w:i/>
        </w:rPr>
        <w:t>Session Description:</w:t>
      </w:r>
    </w:p>
    <w:p w14:paraId="3C0037A5" w14:textId="77777777" w:rsidR="00D22D2C" w:rsidRDefault="00D22D2C" w:rsidP="00D22D2C">
      <w:r>
        <w:t xml:space="preserve">Over the past few decades, higher education costs have increased at a pace far exceeding inflation. In an effort to help save for such costs, many families have turned to 529 plans. While the basic mechanics of such plans are well understood by most advisors, 529 planning can become surprisingly complex, especially when planning for multiple (generations of) potential students, or when 529 plan funds are used for purposes other than higher education. Join Lead Financial Planning Nerd, Jeff Levine, at the July Kitces Monthly webinar, where you’ll explore many of these complexities and take a deep dive into some of the more challenging aspects of 529 planning. </w:t>
      </w:r>
    </w:p>
    <w:p w14:paraId="6F638EB4" w14:textId="77777777" w:rsidR="00D22D2C" w:rsidRDefault="00D22D2C" w:rsidP="00D22D2C">
      <w:pPr>
        <w:shd w:val="clear" w:color="auto" w:fill="FFFFFF"/>
        <w:rPr>
          <w:i/>
          <w:color w:val="222222"/>
          <w:sz w:val="22"/>
          <w:szCs w:val="22"/>
        </w:rPr>
      </w:pPr>
    </w:p>
    <w:p w14:paraId="59668075" w14:textId="77777777" w:rsidR="00D22D2C" w:rsidRPr="00D22D2C" w:rsidRDefault="00D22D2C" w:rsidP="00D22D2C">
      <w:pPr>
        <w:rPr>
          <w:rFonts w:eastAsia="Calibri"/>
          <w:iCs/>
          <w:sz w:val="22"/>
          <w:szCs w:val="22"/>
        </w:rPr>
      </w:pPr>
      <w:r>
        <w:rPr>
          <w:iCs/>
          <w:sz w:val="22"/>
          <w:szCs w:val="22"/>
        </w:rPr>
        <w:t>In this webinar, advisors will learn:</w:t>
      </w:r>
    </w:p>
    <w:p w14:paraId="4C5AE617" w14:textId="77777777" w:rsidR="00D22D2C" w:rsidRDefault="00D22D2C" w:rsidP="00D22D2C">
      <w:pPr>
        <w:pStyle w:val="ListParagraph"/>
        <w:numPr>
          <w:ilvl w:val="0"/>
          <w:numId w:val="2"/>
        </w:numPr>
      </w:pPr>
      <w:r>
        <w:t>An overview of key 529 plan rules</w:t>
      </w:r>
    </w:p>
    <w:p w14:paraId="5639D52C" w14:textId="77777777" w:rsidR="00D22D2C" w:rsidRDefault="00D22D2C" w:rsidP="00D22D2C">
      <w:pPr>
        <w:pStyle w:val="ListParagraph"/>
        <w:numPr>
          <w:ilvl w:val="0"/>
          <w:numId w:val="2"/>
        </w:numPr>
      </w:pPr>
      <w:r>
        <w:t>Tax consequences of changing 529 plan owners and/or beneficiaries</w:t>
      </w:r>
    </w:p>
    <w:p w14:paraId="03B3EA81" w14:textId="77777777" w:rsidR="00D22D2C" w:rsidRDefault="00D22D2C" w:rsidP="00D22D2C">
      <w:pPr>
        <w:pStyle w:val="ListParagraph"/>
        <w:numPr>
          <w:ilvl w:val="0"/>
          <w:numId w:val="2"/>
        </w:numPr>
      </w:pPr>
      <w:r>
        <w:t>The impact of ownership decisions on student aid</w:t>
      </w:r>
    </w:p>
    <w:p w14:paraId="28381176" w14:textId="77777777" w:rsidR="00D22D2C" w:rsidRDefault="00D22D2C" w:rsidP="00D22D2C">
      <w:pPr>
        <w:pStyle w:val="ListParagraph"/>
        <w:numPr>
          <w:ilvl w:val="0"/>
          <w:numId w:val="2"/>
        </w:numPr>
      </w:pPr>
      <w:r>
        <w:t>Trust-owned 529 plans considerations and the “Dynasty 529 Plan”</w:t>
      </w:r>
    </w:p>
    <w:p w14:paraId="0A0290FF" w14:textId="77777777" w:rsidR="00D22D2C" w:rsidRDefault="00D22D2C" w:rsidP="00D22D2C">
      <w:pPr>
        <w:pStyle w:val="ListParagraph"/>
        <w:numPr>
          <w:ilvl w:val="0"/>
          <w:numId w:val="2"/>
        </w:numPr>
      </w:pPr>
      <w:r>
        <w:t>State tax complications created by recent changes to the Federal tax rules</w:t>
      </w:r>
    </w:p>
    <w:p w14:paraId="1F8131CC" w14:textId="77777777" w:rsidR="00D22D2C" w:rsidRDefault="00D22D2C" w:rsidP="00D22D2C">
      <w:pPr>
        <w:pStyle w:val="ListParagraph"/>
        <w:numPr>
          <w:ilvl w:val="0"/>
          <w:numId w:val="2"/>
        </w:numPr>
      </w:pPr>
      <w:r>
        <w:t>SECURE 2.0’s 529-to-Roth IRA transfers and the “Sweet 16 Roth IRA”</w:t>
      </w:r>
    </w:p>
    <w:p w14:paraId="43121770" w14:textId="77777777" w:rsidR="00A860D8" w:rsidRDefault="00A860D8" w:rsidP="00B06DE4">
      <w:pPr>
        <w:autoSpaceDE w:val="0"/>
        <w:autoSpaceDN w:val="0"/>
        <w:adjustRightInd w:val="0"/>
        <w:rPr>
          <w:rFonts w:eastAsia="Calibri"/>
          <w:color w:val="000000"/>
          <w:szCs w:val="20"/>
        </w:rPr>
      </w:pPr>
    </w:p>
    <w:p w14:paraId="281A0A6A" w14:textId="77777777" w:rsidR="00A860D8" w:rsidRDefault="00A860D8" w:rsidP="00B06DE4">
      <w:pPr>
        <w:autoSpaceDE w:val="0"/>
        <w:autoSpaceDN w:val="0"/>
        <w:adjustRightInd w:val="0"/>
        <w:rPr>
          <w:rFonts w:eastAsia="Calibri"/>
          <w:szCs w:val="20"/>
        </w:rPr>
      </w:pPr>
    </w:p>
    <w:p w14:paraId="0A0E5F79" w14:textId="77777777" w:rsidR="00147352" w:rsidRDefault="00147352" w:rsidP="00147352">
      <w:r>
        <w:rPr>
          <w:i/>
        </w:rPr>
        <w:t>Learning Objectives:</w:t>
      </w:r>
    </w:p>
    <w:p w14:paraId="64716C10" w14:textId="7E82374D" w:rsidR="00147352" w:rsidRDefault="00147352" w:rsidP="009A37F8">
      <w:pPr>
        <w:ind w:left="900" w:hanging="900"/>
      </w:pPr>
      <w:r>
        <w:t xml:space="preserve">- </w:t>
      </w:r>
      <w:r w:rsidR="00BD1F06">
        <w:t>LO #1</w:t>
      </w:r>
      <w:r w:rsidR="003B53F3">
        <w:t xml:space="preserve">: </w:t>
      </w:r>
      <w:r w:rsidR="008201A5">
        <w:t>Describe</w:t>
      </w:r>
      <w:r w:rsidR="00A51BAC">
        <w:t xml:space="preserve"> </w:t>
      </w:r>
      <w:r w:rsidR="005C4A8B">
        <w:t xml:space="preserve">the </w:t>
      </w:r>
      <w:r w:rsidR="00D22D2C">
        <w:t>basic 529 plan rules that apply for Federal income tax purposes</w:t>
      </w:r>
    </w:p>
    <w:p w14:paraId="6E4B8A1C" w14:textId="77777777" w:rsidR="003B53F3" w:rsidRDefault="003B53F3" w:rsidP="009A37F8">
      <w:pPr>
        <w:ind w:left="900" w:hanging="900"/>
      </w:pPr>
    </w:p>
    <w:p w14:paraId="62FE4E61" w14:textId="5A949CA4" w:rsidR="00147352" w:rsidRDefault="00147352" w:rsidP="009A37F8">
      <w:pPr>
        <w:ind w:left="900" w:hanging="900"/>
      </w:pPr>
      <w:r>
        <w:t xml:space="preserve">- </w:t>
      </w:r>
      <w:r w:rsidR="00BD1F06">
        <w:t>LO #2</w:t>
      </w:r>
      <w:r w:rsidR="006E70CF">
        <w:t xml:space="preserve">: </w:t>
      </w:r>
      <w:r w:rsidR="008201A5">
        <w:t xml:space="preserve">Examine how </w:t>
      </w:r>
      <w:r w:rsidR="00D22D2C">
        <w:t>state rules regarding 529 plans vary significantly</w:t>
      </w:r>
      <w:r w:rsidR="000A79BE">
        <w:t xml:space="preserve"> </w:t>
      </w:r>
    </w:p>
    <w:p w14:paraId="5111C2F8" w14:textId="77777777" w:rsidR="003B53F3" w:rsidRDefault="003B53F3" w:rsidP="009A37F8">
      <w:pPr>
        <w:ind w:left="900" w:hanging="900"/>
      </w:pPr>
    </w:p>
    <w:p w14:paraId="317174DE" w14:textId="568210BA" w:rsidR="009A37F8" w:rsidRDefault="00147352" w:rsidP="009A37F8">
      <w:pPr>
        <w:ind w:left="900" w:hanging="900"/>
      </w:pPr>
      <w:r>
        <w:t xml:space="preserve">- </w:t>
      </w:r>
      <w:r w:rsidR="00BD1F06">
        <w:t>LO #</w:t>
      </w:r>
      <w:r w:rsidR="008949A2">
        <w:t>3</w:t>
      </w:r>
      <w:r w:rsidR="009A37F8">
        <w:t xml:space="preserve">: </w:t>
      </w:r>
      <w:r w:rsidR="005C4A8B">
        <w:t xml:space="preserve">Identify </w:t>
      </w:r>
      <w:r w:rsidR="00E72D3E">
        <w:t xml:space="preserve">planning </w:t>
      </w:r>
      <w:r w:rsidR="00D22D2C">
        <w:t>opportunities and challenges when changing 529 plan beneficiaries</w:t>
      </w:r>
    </w:p>
    <w:p w14:paraId="689D3B24" w14:textId="77777777" w:rsidR="003B53F3" w:rsidRDefault="003B53F3" w:rsidP="009A37F8">
      <w:pPr>
        <w:ind w:left="900" w:hanging="900"/>
      </w:pPr>
    </w:p>
    <w:p w14:paraId="72F2D3C1" w14:textId="0B76C4F5" w:rsidR="00BD1F06" w:rsidRDefault="00BD1F06" w:rsidP="009A37F8">
      <w:pPr>
        <w:ind w:left="900" w:hanging="900"/>
      </w:pPr>
      <w:r>
        <w:t>- LO #</w:t>
      </w:r>
      <w:r w:rsidR="008949A2">
        <w:t>4</w:t>
      </w:r>
      <w:r w:rsidR="003B53F3">
        <w:t xml:space="preserve">: </w:t>
      </w:r>
      <w:r w:rsidR="008201A5">
        <w:t>Learn</w:t>
      </w:r>
      <w:r w:rsidR="005C4A8B">
        <w:t xml:space="preserve"> </w:t>
      </w:r>
      <w:r w:rsidR="00D22D2C">
        <w:t>how to select the appropriate 529 plan for clients</w:t>
      </w:r>
    </w:p>
    <w:p w14:paraId="68B280BB" w14:textId="77777777" w:rsidR="00147352" w:rsidRDefault="00147352" w:rsidP="00147352">
      <w:pPr>
        <w:rPr>
          <w:i/>
        </w:rPr>
      </w:pPr>
    </w:p>
    <w:p w14:paraId="23017C3F" w14:textId="76E4BBCF" w:rsidR="009D6B01" w:rsidRDefault="009D6B01" w:rsidP="00AC4415">
      <w:pPr>
        <w:ind w:left="900" w:hanging="900"/>
      </w:pPr>
      <w:r>
        <w:t>-LO #</w:t>
      </w:r>
      <w:r w:rsidR="008949A2">
        <w:t>5:</w:t>
      </w:r>
      <w:r>
        <w:t xml:space="preserve"> </w:t>
      </w:r>
      <w:r w:rsidR="008201A5">
        <w:t>Explore</w:t>
      </w:r>
      <w:r>
        <w:t xml:space="preserve"> </w:t>
      </w:r>
      <w:r w:rsidR="00586AA3">
        <w:t>advanced 529 plan</w:t>
      </w:r>
      <w:r w:rsidR="00D22D2C">
        <w:t xml:space="preserve"> planning opportunities </w:t>
      </w:r>
      <w:r w:rsidR="00586AA3">
        <w:t xml:space="preserve">(e.g., Family Dynasty 529, trust-owned 529, </w:t>
      </w:r>
      <w:r w:rsidR="00D22D2C">
        <w:t>529-to-Roth transfer</w:t>
      </w:r>
      <w:r w:rsidR="00586AA3">
        <w:t>s)</w:t>
      </w:r>
    </w:p>
    <w:p w14:paraId="0B084F76" w14:textId="77777777" w:rsidR="00AC4415" w:rsidRDefault="00AC4415" w:rsidP="00147352">
      <w:pPr>
        <w:rPr>
          <w:i/>
        </w:rPr>
      </w:pPr>
    </w:p>
    <w:p w14:paraId="58DD1BC9" w14:textId="77777777" w:rsidR="00147352" w:rsidRPr="00886F9D" w:rsidRDefault="00147352" w:rsidP="00147352">
      <w:pPr>
        <w:rPr>
          <w:i/>
        </w:rPr>
      </w:pPr>
      <w:r>
        <w:rPr>
          <w:i/>
        </w:rPr>
        <w:t>Level of Complexity:</w:t>
      </w:r>
    </w:p>
    <w:p w14:paraId="357FD785" w14:textId="77777777" w:rsidR="00147352" w:rsidRDefault="00147352" w:rsidP="00147352">
      <w:r>
        <w:t xml:space="preserve">- </w:t>
      </w:r>
      <w:r w:rsidR="008948D3">
        <w:t xml:space="preserve">CFP: </w:t>
      </w:r>
      <w:r w:rsidR="008949A2">
        <w:t>Advanced</w:t>
      </w:r>
    </w:p>
    <w:p w14:paraId="047BD992" w14:textId="103FD770" w:rsidR="008948D3" w:rsidRDefault="008948D3" w:rsidP="00147352"/>
    <w:p w14:paraId="1E5657C2" w14:textId="77777777" w:rsidR="00BA45E8" w:rsidRDefault="00BA45E8" w:rsidP="00147352"/>
    <w:p w14:paraId="71717D46" w14:textId="77777777" w:rsidR="00147352" w:rsidRDefault="00147352" w:rsidP="00147352">
      <w:r>
        <w:rPr>
          <w:i/>
        </w:rPr>
        <w:t>Topic Area(s):</w:t>
      </w:r>
    </w:p>
    <w:p w14:paraId="29DFD16E" w14:textId="77777777" w:rsidR="00147352" w:rsidRDefault="00147352" w:rsidP="00147352">
      <w:r>
        <w:t xml:space="preserve">- </w:t>
      </w:r>
      <w:r w:rsidR="006E70CF">
        <w:t xml:space="preserve">CFP: </w:t>
      </w:r>
      <w:r w:rsidR="005C4A8B">
        <w:t>Financial Planning Process</w:t>
      </w:r>
      <w:r w:rsidR="008949A2">
        <w:t>, Tax Planning, Estate Planning</w:t>
      </w:r>
    </w:p>
    <w:p w14:paraId="0A722B20" w14:textId="77777777" w:rsidR="006E70CF" w:rsidRPr="00886F9D" w:rsidRDefault="006E70CF" w:rsidP="00147352">
      <w:r>
        <w:t>- NASBA: Specialized Knowledge (Personal Financial Planning)</w:t>
      </w:r>
    </w:p>
    <w:p w14:paraId="58ED2D03" w14:textId="77777777" w:rsidR="00147352" w:rsidRDefault="00147352" w:rsidP="00147352"/>
    <w:p w14:paraId="1DE4A362" w14:textId="77777777" w:rsidR="00147352" w:rsidRPr="00886F9D" w:rsidRDefault="00147352" w:rsidP="00147352">
      <w:pPr>
        <w:rPr>
          <w:i/>
        </w:rPr>
      </w:pPr>
      <w:r>
        <w:rPr>
          <w:i/>
        </w:rPr>
        <w:t>Hour(s) of CE:</w:t>
      </w:r>
    </w:p>
    <w:p w14:paraId="65ED5B2E" w14:textId="5A89F3EA" w:rsidR="00AC276E" w:rsidRDefault="00AC276E" w:rsidP="00AC276E">
      <w:r>
        <w:t>- 1.</w:t>
      </w:r>
      <w:r w:rsidR="001D0E49">
        <w:t>0</w:t>
      </w:r>
      <w:r>
        <w:t xml:space="preserve"> CE</w:t>
      </w:r>
    </w:p>
    <w:p w14:paraId="5DCFE693" w14:textId="5AF1141E" w:rsidR="00AC276E" w:rsidRDefault="00AC276E" w:rsidP="00AC276E"/>
    <w:p w14:paraId="0BCD80B4" w14:textId="53564789" w:rsidR="00AC276E" w:rsidRPr="00147352" w:rsidRDefault="00AC276E" w:rsidP="00AC276E">
      <w:pPr>
        <w:rPr>
          <w:i/>
        </w:rPr>
      </w:pPr>
      <w:r>
        <w:rPr>
          <w:i/>
        </w:rPr>
        <w:t>Outline:</w:t>
      </w:r>
    </w:p>
    <w:p w14:paraId="65CF310F" w14:textId="23DF2374" w:rsidR="00AC276E" w:rsidRPr="00CA5C63" w:rsidRDefault="00D22D2C" w:rsidP="00AC276E">
      <w:pPr>
        <w:numPr>
          <w:ilvl w:val="0"/>
          <w:numId w:val="1"/>
        </w:numPr>
        <w:spacing w:line="360" w:lineRule="auto"/>
        <w:rPr>
          <w:sz w:val="22"/>
          <w:szCs w:val="22"/>
        </w:rPr>
      </w:pPr>
      <w:r>
        <w:rPr>
          <w:sz w:val="22"/>
          <w:szCs w:val="22"/>
        </w:rPr>
        <w:t>Income tax treatment of 529 plan contributions</w:t>
      </w:r>
      <w:r w:rsidR="00F54484">
        <w:rPr>
          <w:sz w:val="22"/>
          <w:szCs w:val="22"/>
        </w:rPr>
        <w:t>……………………………………….</w:t>
      </w:r>
      <w:r w:rsidR="00E012A5">
        <w:rPr>
          <w:sz w:val="22"/>
          <w:szCs w:val="22"/>
        </w:rPr>
        <w:t>..</w:t>
      </w:r>
      <w:r w:rsidR="00F54484">
        <w:rPr>
          <w:sz w:val="22"/>
          <w:szCs w:val="22"/>
        </w:rPr>
        <w:t xml:space="preserve">. </w:t>
      </w:r>
      <w:r w:rsidR="00462FDA">
        <w:rPr>
          <w:sz w:val="22"/>
          <w:szCs w:val="22"/>
        </w:rPr>
        <w:t>8</w:t>
      </w:r>
      <w:r w:rsidR="00F54484">
        <w:rPr>
          <w:sz w:val="22"/>
          <w:szCs w:val="22"/>
        </w:rPr>
        <w:t xml:space="preserve"> minutes</w:t>
      </w:r>
    </w:p>
    <w:p w14:paraId="589A0B14" w14:textId="711F90B9" w:rsidR="00AC276E" w:rsidRDefault="00D22D2C" w:rsidP="00AC276E">
      <w:pPr>
        <w:numPr>
          <w:ilvl w:val="0"/>
          <w:numId w:val="1"/>
        </w:numPr>
        <w:spacing w:line="360" w:lineRule="auto"/>
        <w:rPr>
          <w:sz w:val="22"/>
          <w:szCs w:val="22"/>
        </w:rPr>
      </w:pPr>
      <w:r>
        <w:rPr>
          <w:sz w:val="22"/>
          <w:szCs w:val="22"/>
        </w:rPr>
        <w:t>Basic income tax treatment of 529 plan distributions</w:t>
      </w:r>
      <w:r w:rsidR="00E012A5">
        <w:rPr>
          <w:sz w:val="22"/>
          <w:szCs w:val="22"/>
        </w:rPr>
        <w:t>……………</w:t>
      </w:r>
      <w:r>
        <w:rPr>
          <w:sz w:val="22"/>
          <w:szCs w:val="22"/>
        </w:rPr>
        <w:t>……</w:t>
      </w:r>
      <w:r w:rsidR="00E012A5">
        <w:rPr>
          <w:sz w:val="22"/>
          <w:szCs w:val="22"/>
        </w:rPr>
        <w:t xml:space="preserve">………………... </w:t>
      </w:r>
      <w:r w:rsidR="00462FDA">
        <w:rPr>
          <w:sz w:val="22"/>
          <w:szCs w:val="22"/>
        </w:rPr>
        <w:t>8</w:t>
      </w:r>
      <w:r w:rsidR="00E012A5">
        <w:rPr>
          <w:sz w:val="22"/>
          <w:szCs w:val="22"/>
        </w:rPr>
        <w:t xml:space="preserve"> minutes</w:t>
      </w:r>
    </w:p>
    <w:p w14:paraId="4A29A43E" w14:textId="0FFABAFC" w:rsidR="00E012A5" w:rsidRDefault="00D22D2C" w:rsidP="00AC276E">
      <w:pPr>
        <w:numPr>
          <w:ilvl w:val="0"/>
          <w:numId w:val="1"/>
        </w:numPr>
        <w:spacing w:line="360" w:lineRule="auto"/>
        <w:rPr>
          <w:sz w:val="22"/>
          <w:szCs w:val="22"/>
        </w:rPr>
      </w:pPr>
      <w:r>
        <w:rPr>
          <w:sz w:val="22"/>
          <w:szCs w:val="22"/>
        </w:rPr>
        <w:t>Differences between Federal and state rules for qualified distributions….</w:t>
      </w:r>
      <w:r w:rsidR="00E012A5" w:rsidRPr="00E012A5">
        <w:rPr>
          <w:sz w:val="22"/>
          <w:szCs w:val="22"/>
        </w:rPr>
        <w:t>……………</w:t>
      </w:r>
      <w:r w:rsidR="00E012A5">
        <w:rPr>
          <w:sz w:val="22"/>
          <w:szCs w:val="22"/>
        </w:rPr>
        <w:t xml:space="preserve">... </w:t>
      </w:r>
      <w:r w:rsidR="00462FDA">
        <w:rPr>
          <w:sz w:val="22"/>
          <w:szCs w:val="22"/>
        </w:rPr>
        <w:t>8</w:t>
      </w:r>
      <w:r w:rsidR="00E012A5">
        <w:rPr>
          <w:sz w:val="22"/>
          <w:szCs w:val="22"/>
        </w:rPr>
        <w:t xml:space="preserve"> minutes</w:t>
      </w:r>
    </w:p>
    <w:p w14:paraId="49F2174A" w14:textId="74779995" w:rsidR="00AC276E" w:rsidRPr="00E012A5" w:rsidRDefault="00D22D2C" w:rsidP="00AC276E">
      <w:pPr>
        <w:numPr>
          <w:ilvl w:val="0"/>
          <w:numId w:val="1"/>
        </w:numPr>
        <w:spacing w:line="360" w:lineRule="auto"/>
        <w:rPr>
          <w:sz w:val="22"/>
          <w:szCs w:val="22"/>
        </w:rPr>
      </w:pPr>
      <w:r>
        <w:rPr>
          <w:sz w:val="22"/>
          <w:szCs w:val="22"/>
        </w:rPr>
        <w:t>Timing requirements for state deductions..</w:t>
      </w:r>
      <w:r w:rsidR="00E012A5">
        <w:rPr>
          <w:sz w:val="22"/>
          <w:szCs w:val="22"/>
        </w:rPr>
        <w:t xml:space="preserve">……………………………...…………...…. </w:t>
      </w:r>
      <w:r w:rsidR="00462FDA">
        <w:rPr>
          <w:sz w:val="22"/>
          <w:szCs w:val="22"/>
        </w:rPr>
        <w:t>6</w:t>
      </w:r>
      <w:r w:rsidR="00E012A5">
        <w:rPr>
          <w:sz w:val="22"/>
          <w:szCs w:val="22"/>
        </w:rPr>
        <w:t xml:space="preserve"> minutes</w:t>
      </w:r>
    </w:p>
    <w:p w14:paraId="765E2949" w14:textId="5D38F171" w:rsidR="00AC276E" w:rsidRDefault="00D22D2C" w:rsidP="00AC276E">
      <w:pPr>
        <w:numPr>
          <w:ilvl w:val="0"/>
          <w:numId w:val="1"/>
        </w:numPr>
        <w:spacing w:line="360" w:lineRule="auto"/>
        <w:rPr>
          <w:sz w:val="22"/>
          <w:szCs w:val="22"/>
        </w:rPr>
      </w:pPr>
      <w:r>
        <w:rPr>
          <w:sz w:val="22"/>
          <w:szCs w:val="22"/>
        </w:rPr>
        <w:t>Miscellaneous 529 plan rules………………….</w:t>
      </w:r>
      <w:r w:rsidR="00E012A5">
        <w:rPr>
          <w:sz w:val="22"/>
          <w:szCs w:val="22"/>
        </w:rPr>
        <w:t xml:space="preserve">…….……………………….………… </w:t>
      </w:r>
      <w:r w:rsidR="00586AA3">
        <w:rPr>
          <w:sz w:val="22"/>
          <w:szCs w:val="22"/>
        </w:rPr>
        <w:t>6</w:t>
      </w:r>
      <w:r w:rsidR="00E012A5">
        <w:rPr>
          <w:sz w:val="22"/>
          <w:szCs w:val="22"/>
        </w:rPr>
        <w:t xml:space="preserve"> minutes</w:t>
      </w:r>
    </w:p>
    <w:p w14:paraId="55182C9E" w14:textId="1771B404" w:rsidR="00D22D2C" w:rsidRDefault="00D22D2C" w:rsidP="00D22D2C">
      <w:pPr>
        <w:numPr>
          <w:ilvl w:val="0"/>
          <w:numId w:val="1"/>
        </w:numPr>
        <w:spacing w:line="360" w:lineRule="auto"/>
        <w:rPr>
          <w:sz w:val="22"/>
          <w:szCs w:val="22"/>
        </w:rPr>
      </w:pPr>
      <w:r>
        <w:rPr>
          <w:sz w:val="22"/>
          <w:szCs w:val="22"/>
        </w:rPr>
        <w:t xml:space="preserve">Transfer (gift/estate/GST) tax consequences of changing 529 plans beneficiaries.……. </w:t>
      </w:r>
      <w:r w:rsidR="00586AA3">
        <w:rPr>
          <w:sz w:val="22"/>
          <w:szCs w:val="22"/>
        </w:rPr>
        <w:t>1</w:t>
      </w:r>
      <w:r w:rsidR="00462FDA">
        <w:rPr>
          <w:sz w:val="22"/>
          <w:szCs w:val="22"/>
        </w:rPr>
        <w:t>2</w:t>
      </w:r>
      <w:r>
        <w:rPr>
          <w:sz w:val="22"/>
          <w:szCs w:val="22"/>
        </w:rPr>
        <w:t xml:space="preserve"> minutes</w:t>
      </w:r>
    </w:p>
    <w:p w14:paraId="1562D294" w14:textId="04ED2B4A" w:rsidR="00AC276E" w:rsidRDefault="00D22D2C" w:rsidP="00AC276E">
      <w:pPr>
        <w:numPr>
          <w:ilvl w:val="0"/>
          <w:numId w:val="1"/>
        </w:numPr>
        <w:spacing w:line="360" w:lineRule="auto"/>
        <w:rPr>
          <w:sz w:val="22"/>
          <w:szCs w:val="22"/>
        </w:rPr>
      </w:pPr>
      <w:r>
        <w:rPr>
          <w:sz w:val="22"/>
          <w:szCs w:val="22"/>
        </w:rPr>
        <w:t>Selecting the optimal 529 plan………..</w:t>
      </w:r>
      <w:r w:rsidR="00E012A5">
        <w:rPr>
          <w:sz w:val="22"/>
          <w:szCs w:val="22"/>
        </w:rPr>
        <w:t xml:space="preserve">…………………………………………………. </w:t>
      </w:r>
      <w:r w:rsidR="00462FDA">
        <w:rPr>
          <w:sz w:val="22"/>
          <w:szCs w:val="22"/>
        </w:rPr>
        <w:t>7</w:t>
      </w:r>
      <w:r w:rsidR="00E012A5">
        <w:rPr>
          <w:sz w:val="22"/>
          <w:szCs w:val="22"/>
        </w:rPr>
        <w:t xml:space="preserve"> minutes</w:t>
      </w:r>
    </w:p>
    <w:p w14:paraId="5109BA90" w14:textId="0E2F8F5F" w:rsidR="00E012A5" w:rsidRDefault="00586AA3" w:rsidP="00AC276E">
      <w:pPr>
        <w:numPr>
          <w:ilvl w:val="0"/>
          <w:numId w:val="1"/>
        </w:numPr>
        <w:spacing w:line="360" w:lineRule="auto"/>
        <w:rPr>
          <w:sz w:val="22"/>
          <w:szCs w:val="22"/>
        </w:rPr>
      </w:pPr>
      <w:r>
        <w:rPr>
          <w:sz w:val="22"/>
          <w:szCs w:val="22"/>
        </w:rPr>
        <w:t>Advanced 529 plan planning concepts..</w:t>
      </w:r>
      <w:r w:rsidR="00E012A5">
        <w:rPr>
          <w:sz w:val="22"/>
          <w:szCs w:val="22"/>
        </w:rPr>
        <w:t>…………………………………………………</w:t>
      </w:r>
      <w:r>
        <w:rPr>
          <w:sz w:val="22"/>
          <w:szCs w:val="22"/>
        </w:rPr>
        <w:t>1</w:t>
      </w:r>
      <w:r w:rsidR="00462FDA">
        <w:rPr>
          <w:sz w:val="22"/>
          <w:szCs w:val="22"/>
        </w:rPr>
        <w:t>2</w:t>
      </w:r>
      <w:r w:rsidR="00E012A5">
        <w:rPr>
          <w:sz w:val="22"/>
          <w:szCs w:val="22"/>
        </w:rPr>
        <w:t xml:space="preserve"> minutes</w:t>
      </w:r>
    </w:p>
    <w:p w14:paraId="075B7A3D" w14:textId="627FD8D5" w:rsidR="00586AA3" w:rsidRDefault="00586AA3" w:rsidP="00AC276E">
      <w:pPr>
        <w:numPr>
          <w:ilvl w:val="0"/>
          <w:numId w:val="1"/>
        </w:numPr>
        <w:spacing w:line="360" w:lineRule="auto"/>
        <w:rPr>
          <w:sz w:val="22"/>
          <w:szCs w:val="22"/>
        </w:rPr>
      </w:pPr>
      <w:r>
        <w:rPr>
          <w:sz w:val="22"/>
          <w:szCs w:val="22"/>
        </w:rPr>
        <w:t xml:space="preserve">Other 529 plan considerations..……………………………….…………………………. </w:t>
      </w:r>
      <w:r w:rsidR="00462FDA">
        <w:rPr>
          <w:sz w:val="22"/>
          <w:szCs w:val="22"/>
        </w:rPr>
        <w:t>8</w:t>
      </w:r>
      <w:r>
        <w:rPr>
          <w:sz w:val="22"/>
          <w:szCs w:val="22"/>
        </w:rPr>
        <w:t xml:space="preserve"> minutes</w:t>
      </w:r>
    </w:p>
    <w:p w14:paraId="328B3470" w14:textId="00784C6E" w:rsidR="00AC276E" w:rsidRDefault="001E53D3" w:rsidP="001E53D3">
      <w:pPr>
        <w:ind w:left="7200"/>
        <w:rPr>
          <w:sz w:val="22"/>
          <w:szCs w:val="22"/>
        </w:rPr>
      </w:pPr>
      <w:r>
        <w:rPr>
          <w:sz w:val="22"/>
          <w:szCs w:val="22"/>
        </w:rPr>
        <w:t xml:space="preserve">           </w:t>
      </w:r>
      <w:r w:rsidR="00AC276E" w:rsidRPr="00CA5C63">
        <w:rPr>
          <w:sz w:val="22"/>
          <w:szCs w:val="22"/>
        </w:rPr>
        <w:t xml:space="preserve">Total: </w:t>
      </w:r>
      <w:r w:rsidR="00462FDA">
        <w:rPr>
          <w:sz w:val="22"/>
          <w:szCs w:val="22"/>
        </w:rPr>
        <w:t>75</w:t>
      </w:r>
      <w:r w:rsidR="00AC276E" w:rsidRPr="00CA5C63">
        <w:rPr>
          <w:sz w:val="22"/>
          <w:szCs w:val="22"/>
        </w:rPr>
        <w:t xml:space="preserve"> minutes</w:t>
      </w:r>
    </w:p>
    <w:p w14:paraId="084DC25C" w14:textId="77777777" w:rsidR="00BD1F06" w:rsidRPr="00CA5C63" w:rsidRDefault="00BD1F06" w:rsidP="00502E9C">
      <w:pPr>
        <w:rPr>
          <w:sz w:val="22"/>
          <w:szCs w:val="22"/>
        </w:rPr>
      </w:pPr>
    </w:p>
    <w:sectPr w:rsidR="00BD1F06" w:rsidRPr="00CA5C63" w:rsidSect="000F7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F824D3"/>
    <w:multiLevelType w:val="hybridMultilevel"/>
    <w:tmpl w:val="C7021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964739">
    <w:abstractNumId w:val="0"/>
  </w:num>
  <w:num w:numId="2" w16cid:durableId="127324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W3NDYzMzMxtzQ1NLdU0lEKTi0uzszPAykwrAUAQpb92CwAAAA="/>
  </w:docVars>
  <w:rsids>
    <w:rsidRoot w:val="008B647D"/>
    <w:rsid w:val="00020227"/>
    <w:rsid w:val="00033080"/>
    <w:rsid w:val="000A79BE"/>
    <w:rsid w:val="000F7211"/>
    <w:rsid w:val="0012639F"/>
    <w:rsid w:val="00147352"/>
    <w:rsid w:val="0016029B"/>
    <w:rsid w:val="00164D9F"/>
    <w:rsid w:val="001D0E49"/>
    <w:rsid w:val="001E53D3"/>
    <w:rsid w:val="001F748B"/>
    <w:rsid w:val="002352A6"/>
    <w:rsid w:val="00250807"/>
    <w:rsid w:val="002739E3"/>
    <w:rsid w:val="002F5158"/>
    <w:rsid w:val="00336858"/>
    <w:rsid w:val="0033762D"/>
    <w:rsid w:val="00340F52"/>
    <w:rsid w:val="003B53F3"/>
    <w:rsid w:val="003D16BC"/>
    <w:rsid w:val="00417EE1"/>
    <w:rsid w:val="00462FDA"/>
    <w:rsid w:val="00502E9C"/>
    <w:rsid w:val="00507A86"/>
    <w:rsid w:val="00586AA3"/>
    <w:rsid w:val="00591CA0"/>
    <w:rsid w:val="005B696B"/>
    <w:rsid w:val="005C4A8B"/>
    <w:rsid w:val="005E0ADE"/>
    <w:rsid w:val="005E7A5D"/>
    <w:rsid w:val="006176E3"/>
    <w:rsid w:val="00621FFB"/>
    <w:rsid w:val="00646738"/>
    <w:rsid w:val="006D4297"/>
    <w:rsid w:val="006E70CF"/>
    <w:rsid w:val="008201A5"/>
    <w:rsid w:val="00832295"/>
    <w:rsid w:val="008948D3"/>
    <w:rsid w:val="008949A2"/>
    <w:rsid w:val="008A726A"/>
    <w:rsid w:val="008B1A04"/>
    <w:rsid w:val="008B647D"/>
    <w:rsid w:val="008C36BF"/>
    <w:rsid w:val="00926F97"/>
    <w:rsid w:val="0094286C"/>
    <w:rsid w:val="009A37F8"/>
    <w:rsid w:val="009D6B01"/>
    <w:rsid w:val="00A10F0E"/>
    <w:rsid w:val="00A47A71"/>
    <w:rsid w:val="00A51BAC"/>
    <w:rsid w:val="00A860D8"/>
    <w:rsid w:val="00A96C8D"/>
    <w:rsid w:val="00AC276E"/>
    <w:rsid w:val="00AC4415"/>
    <w:rsid w:val="00B06DE4"/>
    <w:rsid w:val="00BA45C7"/>
    <w:rsid w:val="00BA45E8"/>
    <w:rsid w:val="00BD1F06"/>
    <w:rsid w:val="00C4355B"/>
    <w:rsid w:val="00CA5C63"/>
    <w:rsid w:val="00CB3C37"/>
    <w:rsid w:val="00CB5638"/>
    <w:rsid w:val="00D22D2C"/>
    <w:rsid w:val="00D54696"/>
    <w:rsid w:val="00D81E8C"/>
    <w:rsid w:val="00DA6967"/>
    <w:rsid w:val="00E012A5"/>
    <w:rsid w:val="00E72D3E"/>
    <w:rsid w:val="00EA11F3"/>
    <w:rsid w:val="00EF2427"/>
    <w:rsid w:val="00F0758B"/>
    <w:rsid w:val="00F47A13"/>
    <w:rsid w:val="00F54484"/>
    <w:rsid w:val="00F63339"/>
    <w:rsid w:val="00FE2DE0"/>
    <w:rsid w:val="00FF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7786"/>
  <w15:chartTrackingRefBased/>
  <w15:docId w15:val="{34AB6E22-E43D-4741-8FF5-CD765DEA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47D"/>
    <w:rPr>
      <w:color w:val="0000FF"/>
      <w:u w:val="single"/>
    </w:rPr>
  </w:style>
  <w:style w:type="paragraph" w:customStyle="1" w:styleId="KitcesArticleText">
    <w:name w:val="Kitces Article Text"/>
    <w:autoRedefine/>
    <w:qFormat/>
    <w:rsid w:val="00A51BAC"/>
    <w:rPr>
      <w:rFonts w:ascii="Times New Roman" w:hAnsi="Times New Roman"/>
      <w:color w:val="000000"/>
      <w:sz w:val="24"/>
    </w:rPr>
  </w:style>
  <w:style w:type="paragraph" w:styleId="ListParagraph">
    <w:name w:val="List Paragraph"/>
    <w:basedOn w:val="Normal"/>
    <w:uiPriority w:val="34"/>
    <w:qFormat/>
    <w:rsid w:val="00D22D2C"/>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9712D-DC95-4965-B3F9-0895B02F8CC2}">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02943106-C091-4D5F-95F5-0188DF9C5766}"/>
</file>

<file path=customXml/itemProps3.xml><?xml version="1.0" encoding="utf-8"?>
<ds:datastoreItem xmlns:ds="http://schemas.openxmlformats.org/officeDocument/2006/customXml" ds:itemID="{A15C9061-38D2-482C-994E-E2F41C9D7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MKitces</dc:creator>
  <cp:keywords/>
  <cp:lastModifiedBy>Paula Frey</cp:lastModifiedBy>
  <cp:revision>3</cp:revision>
  <dcterms:created xsi:type="dcterms:W3CDTF">2024-03-13T17:30:00Z</dcterms:created>
  <dcterms:modified xsi:type="dcterms:W3CDTF">2024-03-13T17:31:00Z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2510600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