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149F" w:rsidR="00C5780C" w:rsidP="00C5780C" w:rsidRDefault="00C5780C" w14:paraId="51A9CCAE" w14:textId="77777777">
      <w:r w:rsidRPr="00DB78C1">
        <w:rPr>
          <w:i/>
        </w:rPr>
        <w:t xml:space="preserve">Presentation: </w:t>
      </w:r>
      <w:r w:rsidRPr="00DB78C1">
        <w:rPr>
          <w:i/>
        </w:rPr>
        <w:br/>
      </w:r>
      <w:r w:rsidR="000E4FDC">
        <w:t>Advanced Roth Conversion Strategies</w:t>
      </w:r>
    </w:p>
    <w:p w:rsidRPr="0083149F" w:rsidR="008B647D" w:rsidP="008B647D" w:rsidRDefault="008B647D" w14:paraId="672A6659" w14:textId="77777777"/>
    <w:p w:rsidR="00D892CA" w:rsidP="02F169B5" w:rsidRDefault="00D892CA" w14:paraId="28CE7AAD" w14:textId="011A6DAF">
      <w:pPr>
        <w:spacing w:after="160" w:line="259" w:lineRule="auto"/>
        <w:rPr>
          <w:color w:val="000000" w:themeColor="text1"/>
        </w:rPr>
      </w:pPr>
      <w:r w:rsidRPr="02F169B5">
        <w:rPr>
          <w:i/>
          <w:iCs/>
          <w:color w:val="000000" w:themeColor="text1"/>
        </w:rPr>
        <w:t xml:space="preserve">Presenter: </w:t>
      </w:r>
    </w:p>
    <w:p w:rsidR="00D892CA" w:rsidP="02F169B5" w:rsidRDefault="00D892CA" w14:paraId="1FEDAF80" w14:textId="0A9BF9D8">
      <w:pPr>
        <w:spacing w:after="160" w:line="259" w:lineRule="auto"/>
        <w:rPr>
          <w:color w:val="000000" w:themeColor="text1"/>
        </w:rPr>
      </w:pPr>
      <w:r w:rsidRPr="02F169B5">
        <w:rPr>
          <w:color w:val="000000" w:themeColor="text1"/>
        </w:rPr>
        <w:t xml:space="preserve">Michael E. Kitces, MSFS, MTAX, CFP®, CLU, ChFC, RHU, REBC, CASL is the Chief Financial Planning Nerd at Kitces.com, dedicated to advancing knowledge in financial planning and helping to make financial advisors better and more successful. </w:t>
      </w:r>
    </w:p>
    <w:p w:rsidR="00D892CA" w:rsidP="02F169B5" w:rsidRDefault="00D892CA" w14:paraId="04227462" w14:textId="6DD83BB2">
      <w:pPr>
        <w:spacing w:after="160" w:line="259" w:lineRule="auto"/>
        <w:rPr>
          <w:color w:val="000000" w:themeColor="text1"/>
        </w:rPr>
      </w:pPr>
      <w:r w:rsidRPr="54B19D1E" w:rsidR="00D892CA">
        <w:rPr>
          <w:color w:val="000000" w:themeColor="text1" w:themeTint="FF" w:themeShade="FF"/>
        </w:rPr>
        <w:t xml:space="preserve">In addition, he is the Head of Planning Strategy at </w:t>
      </w:r>
      <w:r w:rsidRPr="54B19D1E" w:rsidR="6644DDB2">
        <w:rPr>
          <w:color w:val="000000" w:themeColor="text1" w:themeTint="FF" w:themeShade="FF"/>
        </w:rPr>
        <w:t>Focus</w:t>
      </w:r>
      <w:r w:rsidRPr="54B19D1E" w:rsidR="00D892CA">
        <w:rPr>
          <w:color w:val="000000" w:themeColor="text1" w:themeTint="FF" w:themeShade="FF"/>
        </w:rPr>
        <w:t xml:space="preserve"> Wealth Partners, the co-founder of the XY Planning Network, </w:t>
      </w:r>
      <w:r w:rsidRPr="54B19D1E" w:rsidR="00D892CA">
        <w:rPr>
          <w:color w:val="000000" w:themeColor="text1" w:themeTint="FF" w:themeShade="FF"/>
        </w:rPr>
        <w:t>AdvicePay</w:t>
      </w:r>
      <w:r w:rsidRPr="54B19D1E" w:rsidR="00D892CA">
        <w:rPr>
          <w:color w:val="000000" w:themeColor="text1" w:themeTint="FF" w:themeShade="FF"/>
        </w:rPr>
        <w:t xml:space="preserve">, New Planner Recruiting, </w:t>
      </w:r>
      <w:r w:rsidRPr="54B19D1E" w:rsidR="00D892CA">
        <w:rPr>
          <w:color w:val="000000" w:themeColor="text1" w:themeTint="FF" w:themeShade="FF"/>
        </w:rPr>
        <w:t>fpPathfinder</w:t>
      </w:r>
      <w:r w:rsidRPr="54B19D1E" w:rsidR="00D892CA">
        <w:rPr>
          <w:color w:val="000000" w:themeColor="text1" w:themeTint="FF" w:themeShade="FF"/>
        </w:rPr>
        <w:t xml:space="preserve">, and FA </w:t>
      </w:r>
      <w:r w:rsidRPr="54B19D1E" w:rsidR="00D892CA">
        <w:rPr>
          <w:color w:val="000000" w:themeColor="text1" w:themeTint="FF" w:themeShade="FF"/>
        </w:rPr>
        <w:t>BeanCounters</w:t>
      </w:r>
      <w:r w:rsidRPr="54B19D1E" w:rsidR="00D892CA">
        <w:rPr>
          <w:color w:val="000000" w:themeColor="text1" w:themeTint="FF" w:themeShade="FF"/>
        </w:rPr>
        <w:t xml:space="preserve">, the former Practitioner Editor of the Journal of Financial Planning, the host of the Financial Advisor Success podcast, and the publisher of the popular financial planning industry blog Nerd’s Eye View.  </w:t>
      </w:r>
    </w:p>
    <w:p w:rsidR="00D892CA" w:rsidP="02F169B5" w:rsidRDefault="00D892CA" w14:paraId="7D9C6AAB" w14:textId="18C950FF">
      <w:pPr>
        <w:spacing w:after="160" w:line="259" w:lineRule="auto"/>
        <w:rPr>
          <w:color w:val="000000" w:themeColor="text1"/>
        </w:rPr>
      </w:pPr>
      <w:r w:rsidRPr="02F169B5">
        <w:rPr>
          <w:color w:val="000000" w:themeColor="text1"/>
        </w:rPr>
        <w:t>In 2010, Michael was recognized with one of the FPA’s “Heart of Financial Planning” awards for his dedication and work in advancing the profession.</w:t>
      </w:r>
    </w:p>
    <w:p w:rsidR="02F169B5" w:rsidP="02F169B5" w:rsidRDefault="02F169B5" w14:paraId="69972E88" w14:textId="6C5B4F14">
      <w:pPr>
        <w:rPr>
          <w:color w:val="000000" w:themeColor="text1"/>
        </w:rPr>
      </w:pPr>
    </w:p>
    <w:p w:rsidRPr="00DB78C1" w:rsidR="00C5780C" w:rsidP="00C5780C" w:rsidRDefault="00C5780C" w14:paraId="116B1A29" w14:textId="77777777">
      <w:pPr>
        <w:rPr>
          <w:i/>
        </w:rPr>
      </w:pPr>
      <w:r w:rsidRPr="00DB78C1">
        <w:rPr>
          <w:i/>
        </w:rPr>
        <w:t>Session Description:</w:t>
      </w:r>
    </w:p>
    <w:p w:rsidR="00A705A9" w:rsidP="00BD4C10" w:rsidRDefault="00A705A9" w14:paraId="143CA784" w14:textId="77777777">
      <w:r>
        <w:t xml:space="preserve">The natural appeal of a Roth-style retirement account is the potential for tax-free growth for life. However, the reality is that creating a Roth account has a “cost” – the upfront tax liability of contributing to (or converting into) the account, which is avoided with a traditional pre-tax IRA or 401(k). As a result, optimal Roth strategies involve not merely contributing to or converting into </w:t>
      </w:r>
      <w:proofErr w:type="gramStart"/>
      <w:r>
        <w:t>Roths, but</w:t>
      </w:r>
      <w:proofErr w:type="gramEnd"/>
      <w:r>
        <w:t xml:space="preserve"> managing the timing and leveraging the available tax law to maximize the strategy. In this session, we explore techniques to maximize Roth contributions, including so-called “Backdoor Roth” IRAs and “Mega Backdoor Roth” 401(k) strategies, and leveraging the Roth recharacterization rules to optimally fill lower tax brackets, and be able to ensure that an investment in a Roth has a positive return before being required to commit to it!</w:t>
      </w:r>
    </w:p>
    <w:p w:rsidR="00A705A9" w:rsidP="00BD4C10" w:rsidRDefault="00A705A9" w14:paraId="5DAB6C7B" w14:textId="77777777"/>
    <w:p w:rsidR="00A705A9" w:rsidP="00BD4C10" w:rsidRDefault="00A705A9" w14:paraId="02EB378F" w14:textId="77777777"/>
    <w:p w:rsidR="00C5780C" w:rsidP="00C5780C" w:rsidRDefault="00C5780C" w14:paraId="0531BC1C" w14:textId="77777777">
      <w:r>
        <w:rPr>
          <w:i/>
        </w:rPr>
        <w:t>Learning Objectives:</w:t>
      </w:r>
    </w:p>
    <w:p w:rsidR="0002030E" w:rsidP="0002030E" w:rsidRDefault="0002030E" w14:paraId="242ACC30" w14:textId="77777777">
      <w:pPr>
        <w:ind w:left="900" w:hanging="900"/>
      </w:pPr>
      <w:r>
        <w:t>- LO #1: Compare and contrast the basics of a Traditional versus Roth IRA.</w:t>
      </w:r>
    </w:p>
    <w:p w:rsidR="0002030E" w:rsidP="0002030E" w:rsidRDefault="0002030E" w14:paraId="6A05A809" w14:textId="77777777">
      <w:pPr>
        <w:ind w:left="900" w:hanging="900"/>
      </w:pPr>
    </w:p>
    <w:p w:rsidRPr="00F02B5C" w:rsidR="0002030E" w:rsidP="0002030E" w:rsidRDefault="0002030E" w14:paraId="25BD5F60" w14:textId="77777777">
      <w:pPr>
        <w:ind w:left="900" w:hanging="900"/>
      </w:pPr>
      <w:r>
        <w:t xml:space="preserve">- LO #2: Explain the </w:t>
      </w:r>
      <w:r>
        <w:rPr>
          <w:i/>
        </w:rPr>
        <w:t xml:space="preserve">tax equivalency </w:t>
      </w:r>
      <w:proofErr w:type="gramStart"/>
      <w:r>
        <w:rPr>
          <w:i/>
        </w:rPr>
        <w:t>principal</w:t>
      </w:r>
      <w:proofErr w:type="gramEnd"/>
      <w:r>
        <w:t xml:space="preserve"> and calculate the amount of after-tax contributions needed to equal the same amount of pre-tax contributions given various tax rates and pre-tax contribution amounts.</w:t>
      </w:r>
    </w:p>
    <w:p w:rsidR="0002030E" w:rsidP="0002030E" w:rsidRDefault="0002030E" w14:paraId="5A39BBE3" w14:textId="77777777">
      <w:pPr>
        <w:ind w:left="900" w:hanging="900"/>
      </w:pPr>
    </w:p>
    <w:p w:rsidR="0002030E" w:rsidP="0002030E" w:rsidRDefault="0002030E" w14:paraId="14EDDDC9" w14:textId="77777777">
      <w:pPr>
        <w:ind w:left="900" w:hanging="900"/>
      </w:pPr>
      <w:r>
        <w:t xml:space="preserve">- LO #3: </w:t>
      </w:r>
      <w:r w:rsidR="00A06DFE">
        <w:t>Identify the “Backdoor” Roth IRA strategy and the considerations for using it.</w:t>
      </w:r>
    </w:p>
    <w:p w:rsidR="0002030E" w:rsidP="0002030E" w:rsidRDefault="0002030E" w14:paraId="41C8F396" w14:textId="77777777">
      <w:pPr>
        <w:ind w:left="900" w:hanging="900"/>
      </w:pPr>
    </w:p>
    <w:p w:rsidR="0002030E" w:rsidP="0002030E" w:rsidRDefault="0002030E" w14:paraId="016BF80D" w14:textId="77777777">
      <w:pPr>
        <w:ind w:left="900" w:hanging="900"/>
      </w:pPr>
      <w:r>
        <w:t xml:space="preserve">- LO #4: </w:t>
      </w:r>
      <w:r w:rsidR="00A06DFE">
        <w:t>Identify the Mega “Backdoor” Roth IRA Strategy and the rules for successfully implementing the strategy.</w:t>
      </w:r>
    </w:p>
    <w:p w:rsidR="0002030E" w:rsidP="0002030E" w:rsidRDefault="0002030E" w14:paraId="72A3D3EC" w14:textId="77777777">
      <w:pPr>
        <w:ind w:left="900" w:hanging="900"/>
      </w:pPr>
    </w:p>
    <w:p w:rsidR="0002030E" w:rsidP="0002030E" w:rsidRDefault="0002030E" w14:paraId="3EC5BD12" w14:textId="77777777">
      <w:pPr>
        <w:ind w:left="900" w:hanging="900"/>
      </w:pPr>
      <w:r>
        <w:t xml:space="preserve">- LO #5: Explain </w:t>
      </w:r>
      <w:r w:rsidR="00A06DFE">
        <w:t>partial Roth conversion strategies and the additional tax planning flexibility they provide.</w:t>
      </w:r>
    </w:p>
    <w:p w:rsidR="00C5780C" w:rsidP="00C5780C" w:rsidRDefault="00C5780C" w14:paraId="0D0B940D" w14:textId="77777777">
      <w:pPr>
        <w:rPr>
          <w:i/>
        </w:rPr>
      </w:pPr>
    </w:p>
    <w:p w:rsidRPr="00886F9D" w:rsidR="00C5780C" w:rsidP="00C5780C" w:rsidRDefault="00C5780C" w14:paraId="27041862" w14:textId="77777777">
      <w:pPr>
        <w:rPr>
          <w:i/>
        </w:rPr>
      </w:pPr>
      <w:r>
        <w:rPr>
          <w:i/>
        </w:rPr>
        <w:t>Level of Complexity:</w:t>
      </w:r>
    </w:p>
    <w:p w:rsidR="00C5780C" w:rsidP="00C5780C" w:rsidRDefault="00C5780C" w14:paraId="29DC1E22" w14:textId="77777777">
      <w:r>
        <w:t xml:space="preserve">- </w:t>
      </w:r>
      <w:r w:rsidR="001540D8">
        <w:t>Advanced</w:t>
      </w:r>
    </w:p>
    <w:p w:rsidR="00C5780C" w:rsidP="00C5780C" w:rsidRDefault="00C5780C" w14:paraId="0E27B00A" w14:textId="77777777"/>
    <w:p w:rsidR="00C5780C" w:rsidP="00C5780C" w:rsidRDefault="00C5780C" w14:paraId="44ECB684" w14:textId="77777777">
      <w:r>
        <w:rPr>
          <w:i/>
        </w:rPr>
        <w:t>Topic Area(s):</w:t>
      </w:r>
    </w:p>
    <w:p w:rsidR="00147352" w:rsidP="00147352" w:rsidRDefault="0002030E" w14:paraId="7771874A" w14:textId="77777777">
      <w:r>
        <w:t xml:space="preserve">- </w:t>
      </w:r>
      <w:r w:rsidR="00935AFB">
        <w:t>Income Tax Planning / Retirement Planning / Estate Planning</w:t>
      </w:r>
    </w:p>
    <w:p w:rsidR="00935AFB" w:rsidP="00147352" w:rsidRDefault="00935AFB" w14:paraId="60061E4C" w14:textId="77777777"/>
    <w:p w:rsidRPr="00886F9D" w:rsidR="00147352" w:rsidP="00147352" w:rsidRDefault="00147352" w14:paraId="713235D8" w14:textId="77777777">
      <w:pPr>
        <w:rPr>
          <w:i/>
        </w:rPr>
      </w:pPr>
      <w:r>
        <w:rPr>
          <w:i/>
        </w:rPr>
        <w:t>Hour(s) of CE:</w:t>
      </w:r>
    </w:p>
    <w:p w:rsidR="00147352" w:rsidP="00147352" w:rsidRDefault="00147352" w14:paraId="42F7777C" w14:textId="77777777">
      <w:r>
        <w:t xml:space="preserve">- </w:t>
      </w:r>
      <w:r w:rsidR="00C5780C">
        <w:t>1</w:t>
      </w:r>
      <w:r w:rsidR="0002030E">
        <w:t>.0</w:t>
      </w:r>
      <w:r w:rsidR="00C5780C">
        <w:t xml:space="preserve"> hour</w:t>
      </w:r>
    </w:p>
    <w:p w:rsidR="0002030E" w:rsidP="00147352" w:rsidRDefault="0002030E" w14:paraId="44EAFD9C" w14:textId="77777777"/>
    <w:p w:rsidRPr="00C703B3" w:rsidR="0002030E" w:rsidP="0002030E" w:rsidRDefault="0002030E" w14:paraId="01B6B41B" w14:textId="77777777">
      <w:pPr>
        <w:rPr>
          <w:i/>
        </w:rPr>
      </w:pPr>
      <w:r w:rsidRPr="00C703B3">
        <w:rPr>
          <w:i/>
        </w:rPr>
        <w:t>Outline:</w:t>
      </w:r>
    </w:p>
    <w:p w:rsidRPr="00C703B3" w:rsidR="0002030E" w:rsidP="0002030E" w:rsidRDefault="009C671A" w14:paraId="109A7690" w14:textId="77777777">
      <w:pPr>
        <w:numPr>
          <w:ilvl w:val="0"/>
          <w:numId w:val="1"/>
        </w:numPr>
        <w:spacing w:line="360" w:lineRule="auto"/>
        <w:rPr>
          <w:szCs w:val="22"/>
        </w:rPr>
      </w:pPr>
      <w:r>
        <w:rPr>
          <w:szCs w:val="22"/>
        </w:rPr>
        <w:t>Introduction/overview of contributing to an IRA vs. Roth IRA</w:t>
      </w:r>
      <w:r>
        <w:rPr>
          <w:szCs w:val="22"/>
        </w:rPr>
        <w:tab/>
      </w:r>
      <w:r>
        <w:rPr>
          <w:szCs w:val="22"/>
        </w:rPr>
        <w:t>4</w:t>
      </w:r>
      <w:r w:rsidRPr="00C703B3" w:rsidR="0002030E">
        <w:rPr>
          <w:szCs w:val="22"/>
        </w:rPr>
        <w:t xml:space="preserve"> </w:t>
      </w:r>
      <w:proofErr w:type="gramStart"/>
      <w:r w:rsidRPr="00C703B3" w:rsidR="0002030E">
        <w:rPr>
          <w:szCs w:val="22"/>
        </w:rPr>
        <w:t>minutes</w:t>
      </w:r>
      <w:proofErr w:type="gramEnd"/>
    </w:p>
    <w:p w:rsidRPr="00C703B3" w:rsidR="0002030E" w:rsidP="0002030E" w:rsidRDefault="0002030E" w14:paraId="4BE080E6" w14:textId="77777777">
      <w:pPr>
        <w:numPr>
          <w:ilvl w:val="0"/>
          <w:numId w:val="1"/>
        </w:numPr>
        <w:spacing w:line="360" w:lineRule="auto"/>
        <w:rPr>
          <w:szCs w:val="22"/>
        </w:rPr>
      </w:pPr>
      <w:r w:rsidRPr="00C703B3">
        <w:rPr>
          <w:szCs w:val="22"/>
        </w:rPr>
        <w:t>Factors of Roth comparisons</w:t>
      </w:r>
    </w:p>
    <w:p w:rsidRPr="00C703B3" w:rsidR="0002030E" w:rsidP="0002030E" w:rsidRDefault="0002030E" w14:paraId="6849CA02" w14:textId="77777777">
      <w:pPr>
        <w:numPr>
          <w:ilvl w:val="1"/>
          <w:numId w:val="1"/>
        </w:numPr>
        <w:spacing w:line="360" w:lineRule="auto"/>
        <w:rPr>
          <w:szCs w:val="22"/>
        </w:rPr>
      </w:pPr>
      <w:r w:rsidRPr="00C703B3">
        <w:rPr>
          <w:szCs w:val="22"/>
        </w:rPr>
        <w:t>Tax equivalency principle</w:t>
      </w:r>
      <w:r w:rsidRPr="00C703B3">
        <w:rPr>
          <w:szCs w:val="22"/>
        </w:rPr>
        <w:tab/>
      </w:r>
      <w:r w:rsidRPr="00C703B3">
        <w:rPr>
          <w:szCs w:val="22"/>
        </w:rPr>
        <w:tab/>
      </w:r>
      <w:r w:rsidRPr="00C703B3">
        <w:rPr>
          <w:szCs w:val="22"/>
        </w:rPr>
        <w:tab/>
      </w:r>
      <w:r w:rsidRPr="00C703B3">
        <w:rPr>
          <w:szCs w:val="22"/>
        </w:rPr>
        <w:tab/>
      </w:r>
      <w:r w:rsidRPr="00C703B3">
        <w:rPr>
          <w:szCs w:val="22"/>
        </w:rPr>
        <w:tab/>
      </w:r>
      <w:r w:rsidR="009C671A">
        <w:rPr>
          <w:szCs w:val="22"/>
        </w:rPr>
        <w:t>5</w:t>
      </w:r>
      <w:r w:rsidRPr="00C703B3">
        <w:rPr>
          <w:szCs w:val="22"/>
        </w:rPr>
        <w:t xml:space="preserve"> minutes</w:t>
      </w:r>
    </w:p>
    <w:p w:rsidR="0002030E" w:rsidP="0002030E" w:rsidRDefault="0002030E" w14:paraId="7C0190D0" w14:textId="77777777">
      <w:pPr>
        <w:numPr>
          <w:ilvl w:val="1"/>
          <w:numId w:val="1"/>
        </w:numPr>
        <w:spacing w:line="360" w:lineRule="auto"/>
        <w:rPr>
          <w:szCs w:val="22"/>
        </w:rPr>
      </w:pPr>
      <w:r w:rsidRPr="00C703B3">
        <w:rPr>
          <w:szCs w:val="22"/>
        </w:rPr>
        <w:t>Changes in tax rates impact</w:t>
      </w:r>
      <w:r w:rsidRPr="00C703B3">
        <w:rPr>
          <w:szCs w:val="22"/>
        </w:rPr>
        <w:tab/>
      </w:r>
      <w:r w:rsidRPr="00C703B3">
        <w:rPr>
          <w:szCs w:val="22"/>
        </w:rPr>
        <w:tab/>
      </w:r>
      <w:r w:rsidRPr="00C703B3">
        <w:rPr>
          <w:szCs w:val="22"/>
        </w:rPr>
        <w:tab/>
      </w:r>
      <w:r w:rsidRPr="00C703B3">
        <w:rPr>
          <w:szCs w:val="22"/>
        </w:rPr>
        <w:tab/>
      </w:r>
      <w:r w:rsidRPr="00C703B3">
        <w:rPr>
          <w:szCs w:val="22"/>
        </w:rPr>
        <w:tab/>
      </w:r>
      <w:r w:rsidR="009C671A">
        <w:rPr>
          <w:szCs w:val="22"/>
        </w:rPr>
        <w:t>3</w:t>
      </w:r>
      <w:r w:rsidRPr="00C703B3">
        <w:rPr>
          <w:szCs w:val="22"/>
        </w:rPr>
        <w:t xml:space="preserve"> </w:t>
      </w:r>
      <w:proofErr w:type="gramStart"/>
      <w:r w:rsidRPr="00C703B3">
        <w:rPr>
          <w:szCs w:val="22"/>
        </w:rPr>
        <w:t>minutes</w:t>
      </w:r>
      <w:proofErr w:type="gramEnd"/>
    </w:p>
    <w:p w:rsidRPr="00C703B3" w:rsidR="009C671A" w:rsidP="0002030E" w:rsidRDefault="009C671A" w14:paraId="7DA2995E" w14:textId="77777777">
      <w:pPr>
        <w:numPr>
          <w:ilvl w:val="1"/>
          <w:numId w:val="1"/>
        </w:numPr>
        <w:spacing w:line="360" w:lineRule="auto"/>
        <w:rPr>
          <w:szCs w:val="22"/>
        </w:rPr>
      </w:pPr>
      <w:r>
        <w:rPr>
          <w:szCs w:val="22"/>
        </w:rPr>
        <w:t>Lesser Roth vs. Traditional IRA considerations</w:t>
      </w:r>
      <w:r>
        <w:rPr>
          <w:szCs w:val="22"/>
        </w:rPr>
        <w:tab/>
      </w:r>
      <w:r>
        <w:rPr>
          <w:szCs w:val="22"/>
        </w:rPr>
        <w:tab/>
      </w:r>
      <w:r>
        <w:rPr>
          <w:szCs w:val="22"/>
        </w:rPr>
        <w:t>1 minute</w:t>
      </w:r>
    </w:p>
    <w:p w:rsidRPr="00C703B3" w:rsidR="0002030E" w:rsidP="0002030E" w:rsidRDefault="009C671A" w14:paraId="516174DC" w14:textId="77777777">
      <w:pPr>
        <w:numPr>
          <w:ilvl w:val="0"/>
          <w:numId w:val="1"/>
        </w:numPr>
        <w:spacing w:line="360" w:lineRule="auto"/>
        <w:rPr>
          <w:szCs w:val="22"/>
        </w:rPr>
      </w:pPr>
      <w:r>
        <w:rPr>
          <w:szCs w:val="22"/>
        </w:rPr>
        <w:t>Roth conversion strategies</w:t>
      </w:r>
      <w:r>
        <w:rPr>
          <w:szCs w:val="22"/>
        </w:rPr>
        <w:tab/>
      </w:r>
      <w:r>
        <w:rPr>
          <w:szCs w:val="22"/>
        </w:rPr>
        <w:tab/>
      </w:r>
      <w:r w:rsidRPr="00C703B3" w:rsidR="0002030E">
        <w:rPr>
          <w:szCs w:val="22"/>
        </w:rPr>
        <w:tab/>
      </w:r>
      <w:r>
        <w:rPr>
          <w:szCs w:val="22"/>
        </w:rPr>
        <w:tab/>
      </w:r>
      <w:r>
        <w:rPr>
          <w:szCs w:val="22"/>
        </w:rPr>
        <w:tab/>
      </w:r>
      <w:r w:rsidRPr="00C703B3" w:rsidR="0002030E">
        <w:rPr>
          <w:szCs w:val="22"/>
        </w:rPr>
        <w:tab/>
      </w:r>
    </w:p>
    <w:p w:rsidR="0002030E" w:rsidP="009C671A" w:rsidRDefault="009C671A" w14:paraId="0B3D1F54" w14:textId="77777777">
      <w:pPr>
        <w:numPr>
          <w:ilvl w:val="1"/>
          <w:numId w:val="1"/>
        </w:numPr>
        <w:spacing w:line="360" w:lineRule="auto"/>
        <w:rPr>
          <w:szCs w:val="22"/>
        </w:rPr>
      </w:pPr>
      <w:r>
        <w:rPr>
          <w:szCs w:val="22"/>
        </w:rPr>
        <w:t>Introduction</w:t>
      </w:r>
      <w:r>
        <w:rPr>
          <w:szCs w:val="22"/>
        </w:rPr>
        <w:tab/>
      </w:r>
      <w:r>
        <w:rPr>
          <w:szCs w:val="22"/>
        </w:rPr>
        <w:tab/>
      </w:r>
      <w:r>
        <w:rPr>
          <w:szCs w:val="22"/>
        </w:rPr>
        <w:tab/>
      </w:r>
      <w:r>
        <w:rPr>
          <w:szCs w:val="22"/>
        </w:rPr>
        <w:tab/>
      </w:r>
      <w:r w:rsidRPr="00C703B3" w:rsidR="0002030E">
        <w:rPr>
          <w:szCs w:val="22"/>
        </w:rPr>
        <w:tab/>
      </w:r>
      <w:r>
        <w:rPr>
          <w:szCs w:val="22"/>
        </w:rPr>
        <w:tab/>
      </w:r>
      <w:r w:rsidRPr="00C703B3" w:rsidR="0002030E">
        <w:rPr>
          <w:szCs w:val="22"/>
        </w:rPr>
        <w:tab/>
      </w:r>
      <w:r>
        <w:rPr>
          <w:szCs w:val="22"/>
        </w:rPr>
        <w:t>1 minute</w:t>
      </w:r>
    </w:p>
    <w:p w:rsidR="009C671A" w:rsidP="009C671A" w:rsidRDefault="009C671A" w14:paraId="6D5F88E0" w14:textId="77777777">
      <w:pPr>
        <w:numPr>
          <w:ilvl w:val="1"/>
          <w:numId w:val="1"/>
        </w:numPr>
        <w:spacing w:line="360" w:lineRule="auto"/>
        <w:rPr>
          <w:szCs w:val="22"/>
        </w:rPr>
      </w:pPr>
      <w:r>
        <w:rPr>
          <w:szCs w:val="22"/>
        </w:rPr>
        <w:t>“Backdoor” Roth IRA</w:t>
      </w:r>
      <w:r>
        <w:rPr>
          <w:szCs w:val="22"/>
        </w:rPr>
        <w:tab/>
      </w:r>
      <w:r>
        <w:rPr>
          <w:szCs w:val="22"/>
        </w:rPr>
        <w:t xml:space="preserve"> Contributions</w:t>
      </w:r>
      <w:r>
        <w:rPr>
          <w:szCs w:val="22"/>
        </w:rPr>
        <w:tab/>
      </w:r>
      <w:r>
        <w:rPr>
          <w:szCs w:val="22"/>
        </w:rPr>
        <w:tab/>
      </w:r>
      <w:r>
        <w:rPr>
          <w:szCs w:val="22"/>
        </w:rPr>
        <w:tab/>
      </w:r>
      <w:r>
        <w:rPr>
          <w:szCs w:val="22"/>
        </w:rPr>
        <w:tab/>
      </w:r>
      <w:r w:rsidR="00D14046">
        <w:rPr>
          <w:szCs w:val="22"/>
        </w:rPr>
        <w:t>10</w:t>
      </w:r>
      <w:r>
        <w:rPr>
          <w:szCs w:val="22"/>
        </w:rPr>
        <w:t xml:space="preserve"> minutes</w:t>
      </w:r>
      <w:r>
        <w:rPr>
          <w:szCs w:val="22"/>
        </w:rPr>
        <w:tab/>
      </w:r>
    </w:p>
    <w:p w:rsidR="004B74CF" w:rsidP="009C671A" w:rsidRDefault="004B74CF" w14:paraId="133B67A3" w14:textId="77777777">
      <w:pPr>
        <w:numPr>
          <w:ilvl w:val="1"/>
          <w:numId w:val="1"/>
        </w:numPr>
        <w:spacing w:line="360" w:lineRule="auto"/>
        <w:rPr>
          <w:szCs w:val="22"/>
        </w:rPr>
      </w:pPr>
      <w:r>
        <w:rPr>
          <w:szCs w:val="22"/>
        </w:rPr>
        <w:t>Mega “Backdoor” Roth IRA</w:t>
      </w:r>
      <w:r>
        <w:rPr>
          <w:szCs w:val="22"/>
        </w:rPr>
        <w:tab/>
      </w:r>
      <w:r>
        <w:rPr>
          <w:szCs w:val="22"/>
        </w:rPr>
        <w:tab/>
      </w:r>
      <w:r>
        <w:rPr>
          <w:szCs w:val="22"/>
        </w:rPr>
        <w:tab/>
      </w:r>
      <w:r>
        <w:rPr>
          <w:szCs w:val="22"/>
        </w:rPr>
        <w:tab/>
      </w:r>
      <w:r>
        <w:rPr>
          <w:szCs w:val="22"/>
        </w:rPr>
        <w:tab/>
      </w:r>
      <w:r w:rsidR="00D14046">
        <w:rPr>
          <w:szCs w:val="22"/>
        </w:rPr>
        <w:t>10</w:t>
      </w:r>
      <w:r w:rsidR="007F7786">
        <w:rPr>
          <w:szCs w:val="22"/>
        </w:rPr>
        <w:t xml:space="preserve"> minutes</w:t>
      </w:r>
    </w:p>
    <w:p w:rsidR="007F7786" w:rsidP="009C671A" w:rsidRDefault="00D14046" w14:paraId="4A48A8DF" w14:textId="77777777">
      <w:pPr>
        <w:numPr>
          <w:ilvl w:val="1"/>
          <w:numId w:val="1"/>
        </w:numPr>
        <w:spacing w:line="360" w:lineRule="auto"/>
        <w:rPr>
          <w:szCs w:val="22"/>
        </w:rPr>
      </w:pPr>
      <w:r>
        <w:rPr>
          <w:szCs w:val="22"/>
        </w:rPr>
        <w:t>Partial Roth Conversions</w:t>
      </w:r>
      <w:r>
        <w:rPr>
          <w:szCs w:val="22"/>
        </w:rPr>
        <w:tab/>
      </w:r>
      <w:r>
        <w:rPr>
          <w:szCs w:val="22"/>
        </w:rPr>
        <w:tab/>
      </w:r>
      <w:r>
        <w:rPr>
          <w:szCs w:val="22"/>
        </w:rPr>
        <w:tab/>
      </w:r>
      <w:r>
        <w:rPr>
          <w:szCs w:val="22"/>
        </w:rPr>
        <w:tab/>
      </w:r>
      <w:r>
        <w:rPr>
          <w:szCs w:val="22"/>
        </w:rPr>
        <w:tab/>
      </w:r>
      <w:r>
        <w:rPr>
          <w:szCs w:val="22"/>
        </w:rPr>
        <w:t>10</w:t>
      </w:r>
      <w:r w:rsidR="007F7786">
        <w:rPr>
          <w:szCs w:val="22"/>
        </w:rPr>
        <w:t xml:space="preserve"> minutes</w:t>
      </w:r>
    </w:p>
    <w:p w:rsidRPr="00C703B3" w:rsidR="007F7786" w:rsidP="009C671A" w:rsidRDefault="00D14046" w14:paraId="20145C88" w14:textId="77777777">
      <w:pPr>
        <w:numPr>
          <w:ilvl w:val="1"/>
          <w:numId w:val="1"/>
        </w:numPr>
        <w:spacing w:line="360" w:lineRule="auto"/>
        <w:rPr>
          <w:szCs w:val="22"/>
        </w:rPr>
      </w:pPr>
      <w:r>
        <w:rPr>
          <w:szCs w:val="22"/>
        </w:rPr>
        <w:t>Other Considerations</w:t>
      </w:r>
      <w:r>
        <w:rPr>
          <w:szCs w:val="22"/>
        </w:rPr>
        <w:tab/>
      </w:r>
      <w:r>
        <w:rPr>
          <w:szCs w:val="22"/>
        </w:rPr>
        <w:tab/>
      </w:r>
      <w:r>
        <w:rPr>
          <w:szCs w:val="22"/>
        </w:rPr>
        <w:tab/>
      </w:r>
      <w:r>
        <w:rPr>
          <w:szCs w:val="22"/>
        </w:rPr>
        <w:tab/>
      </w:r>
      <w:r>
        <w:rPr>
          <w:szCs w:val="22"/>
        </w:rPr>
        <w:tab/>
      </w:r>
      <w:r>
        <w:rPr>
          <w:szCs w:val="22"/>
        </w:rPr>
        <w:tab/>
      </w:r>
      <w:r>
        <w:rPr>
          <w:szCs w:val="22"/>
        </w:rPr>
        <w:t>1 minute</w:t>
      </w:r>
      <w:r w:rsidR="007F7786">
        <w:rPr>
          <w:szCs w:val="22"/>
        </w:rPr>
        <w:tab/>
      </w:r>
      <w:r w:rsidR="007F7786">
        <w:rPr>
          <w:szCs w:val="22"/>
        </w:rPr>
        <w:tab/>
      </w:r>
    </w:p>
    <w:p w:rsidRPr="00C703B3" w:rsidR="0002030E" w:rsidP="0002030E" w:rsidRDefault="00D14046" w14:paraId="20E076A7" w14:textId="77777777">
      <w:pPr>
        <w:numPr>
          <w:ilvl w:val="0"/>
          <w:numId w:val="1"/>
        </w:numPr>
        <w:spacing w:line="360" w:lineRule="auto"/>
        <w:rPr>
          <w:szCs w:val="22"/>
        </w:rPr>
      </w:pPr>
      <w:r>
        <w:rPr>
          <w:szCs w:val="22"/>
        </w:rPr>
        <w:t>Summary &amp; Conclusion</w:t>
      </w:r>
      <w:r w:rsidR="0002030E">
        <w:rPr>
          <w:szCs w:val="22"/>
        </w:rPr>
        <w:tab/>
      </w:r>
      <w:r w:rsidRPr="00C703B3" w:rsidR="0002030E">
        <w:rPr>
          <w:szCs w:val="22"/>
        </w:rPr>
        <w:tab/>
      </w:r>
      <w:r w:rsidRPr="00C703B3" w:rsidR="0002030E">
        <w:rPr>
          <w:szCs w:val="22"/>
        </w:rPr>
        <w:tab/>
      </w:r>
      <w:r w:rsidRPr="00C703B3" w:rsidR="0002030E">
        <w:rPr>
          <w:szCs w:val="22"/>
        </w:rPr>
        <w:tab/>
      </w:r>
      <w:r w:rsidRPr="00C703B3" w:rsidR="0002030E">
        <w:rPr>
          <w:szCs w:val="22"/>
        </w:rPr>
        <w:tab/>
      </w:r>
      <w:r>
        <w:rPr>
          <w:szCs w:val="22"/>
        </w:rPr>
        <w:tab/>
      </w:r>
      <w:r w:rsidRPr="00C703B3" w:rsidR="0002030E">
        <w:rPr>
          <w:szCs w:val="22"/>
        </w:rPr>
        <w:t>5 minutes</w:t>
      </w:r>
    </w:p>
    <w:p w:rsidR="0002030E" w:rsidP="0002030E" w:rsidRDefault="0002030E" w14:paraId="4B94D5A5" w14:textId="77777777">
      <w:pPr>
        <w:spacing w:line="360" w:lineRule="auto"/>
        <w:ind w:left="5760"/>
        <w:rPr>
          <w:b/>
          <w:i/>
          <w:szCs w:val="22"/>
        </w:rPr>
      </w:pPr>
    </w:p>
    <w:p w:rsidRPr="00C703B3" w:rsidR="0002030E" w:rsidP="0002030E" w:rsidRDefault="0002030E" w14:paraId="62E1D380" w14:textId="77777777">
      <w:pPr>
        <w:spacing w:line="360" w:lineRule="auto"/>
        <w:ind w:left="5760"/>
        <w:rPr>
          <w:b/>
          <w:i/>
          <w:szCs w:val="22"/>
        </w:rPr>
      </w:pPr>
      <w:r w:rsidRPr="00C703B3">
        <w:rPr>
          <w:b/>
          <w:i/>
          <w:szCs w:val="22"/>
        </w:rPr>
        <w:t xml:space="preserve">Total: </w:t>
      </w:r>
      <w:r w:rsidRPr="00C703B3">
        <w:rPr>
          <w:b/>
          <w:i/>
          <w:szCs w:val="22"/>
        </w:rPr>
        <w:tab/>
      </w:r>
      <w:r w:rsidRPr="00C703B3">
        <w:rPr>
          <w:b/>
          <w:i/>
          <w:szCs w:val="22"/>
        </w:rPr>
        <w:tab/>
      </w:r>
      <w:r w:rsidRPr="00C703B3">
        <w:rPr>
          <w:b/>
          <w:i/>
          <w:szCs w:val="22"/>
        </w:rPr>
        <w:t>50 minutes</w:t>
      </w:r>
    </w:p>
    <w:p w:rsidR="0002030E" w:rsidP="00147352" w:rsidRDefault="0002030E" w14:paraId="3DEEC669" w14:textId="77777777"/>
    <w:p w:rsidRPr="00CA5C63" w:rsidR="00BD1F06" w:rsidP="00502E9C" w:rsidRDefault="00BD1F06" w14:paraId="3656B9AB" w14:textId="77777777">
      <w:pPr>
        <w:rPr>
          <w:sz w:val="22"/>
          <w:szCs w:val="22"/>
        </w:rPr>
      </w:pPr>
    </w:p>
    <w:sectPr w:rsidRPr="00CA5C63" w:rsidR="00BD1F06" w:rsidSect="00A16C6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C2CC3"/>
    <w:multiLevelType w:val="hybridMultilevel"/>
    <w:tmpl w:val="5ECE67A6"/>
    <w:lvl w:ilvl="0" w:tplc="8E6069AC">
      <w:numFmt w:val="bullet"/>
      <w:lvlText w:val="-"/>
      <w:lvlJc w:val="left"/>
      <w:pPr>
        <w:tabs>
          <w:tab w:val="num" w:pos="720"/>
        </w:tabs>
        <w:ind w:left="720" w:hanging="360"/>
      </w:pPr>
      <w:rPr>
        <w:rFonts w:hint="default" w:ascii="Times New Roman" w:hAnsi="Times New Roman" w:eastAsia="Times New Roman" w:cs="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10942033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W0sDAztrQwNjcwMjdR0lEKTi0uzszPAykwrAUAw/ESnywAAAA="/>
  </w:docVars>
  <w:rsids>
    <w:rsidRoot w:val="008B647D"/>
    <w:rsid w:val="0002030E"/>
    <w:rsid w:val="00033080"/>
    <w:rsid w:val="000E4FDC"/>
    <w:rsid w:val="00147352"/>
    <w:rsid w:val="001540D8"/>
    <w:rsid w:val="001F748B"/>
    <w:rsid w:val="002352A6"/>
    <w:rsid w:val="00235C85"/>
    <w:rsid w:val="00250807"/>
    <w:rsid w:val="00294311"/>
    <w:rsid w:val="002F5158"/>
    <w:rsid w:val="00340F52"/>
    <w:rsid w:val="00355839"/>
    <w:rsid w:val="00375705"/>
    <w:rsid w:val="003A2A97"/>
    <w:rsid w:val="003C7314"/>
    <w:rsid w:val="003D16BC"/>
    <w:rsid w:val="003F1F0C"/>
    <w:rsid w:val="004B74CF"/>
    <w:rsid w:val="004D22B9"/>
    <w:rsid w:val="00502E9C"/>
    <w:rsid w:val="00591CA0"/>
    <w:rsid w:val="005B696B"/>
    <w:rsid w:val="005E7A5D"/>
    <w:rsid w:val="00646738"/>
    <w:rsid w:val="006D4297"/>
    <w:rsid w:val="00707770"/>
    <w:rsid w:val="007160BC"/>
    <w:rsid w:val="007F7786"/>
    <w:rsid w:val="008353C9"/>
    <w:rsid w:val="00841067"/>
    <w:rsid w:val="008B647D"/>
    <w:rsid w:val="008C118F"/>
    <w:rsid w:val="008C36BF"/>
    <w:rsid w:val="00926F97"/>
    <w:rsid w:val="00935AFB"/>
    <w:rsid w:val="0098067A"/>
    <w:rsid w:val="009C671A"/>
    <w:rsid w:val="00A06DFE"/>
    <w:rsid w:val="00A16C69"/>
    <w:rsid w:val="00A705A9"/>
    <w:rsid w:val="00B500C2"/>
    <w:rsid w:val="00BA45C7"/>
    <w:rsid w:val="00BC7AE5"/>
    <w:rsid w:val="00BD1F06"/>
    <w:rsid w:val="00BD4C10"/>
    <w:rsid w:val="00C4355B"/>
    <w:rsid w:val="00C5780C"/>
    <w:rsid w:val="00C67682"/>
    <w:rsid w:val="00CA5C63"/>
    <w:rsid w:val="00CA754F"/>
    <w:rsid w:val="00CB3C37"/>
    <w:rsid w:val="00D14046"/>
    <w:rsid w:val="00D54696"/>
    <w:rsid w:val="00D81E8C"/>
    <w:rsid w:val="00D892CA"/>
    <w:rsid w:val="00DA6967"/>
    <w:rsid w:val="00DE7179"/>
    <w:rsid w:val="00EA11F3"/>
    <w:rsid w:val="00EF2427"/>
    <w:rsid w:val="00F0758B"/>
    <w:rsid w:val="00F07697"/>
    <w:rsid w:val="00FB41ED"/>
    <w:rsid w:val="00FC564C"/>
    <w:rsid w:val="00FC7D72"/>
    <w:rsid w:val="00FD56AC"/>
    <w:rsid w:val="00FE2DE0"/>
    <w:rsid w:val="00FF1735"/>
    <w:rsid w:val="02F169B5"/>
    <w:rsid w:val="54B19D1E"/>
    <w:rsid w:val="6644DDB2"/>
    <w:rsid w:val="7AF437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8F6A"/>
  <w15:chartTrackingRefBased/>
  <w15:docId w15:val="{2D67ABE0-585F-4E27-A797-2A23131EF3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647D"/>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8B64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36428-AF45-4707-803F-9E10728D8A39}">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2.xml><?xml version="1.0" encoding="utf-8"?>
<ds:datastoreItem xmlns:ds="http://schemas.openxmlformats.org/officeDocument/2006/customXml" ds:itemID="{9914BD6A-8B0E-4F44-8E62-4415D41F6CEE}">
  <ds:schemaRefs>
    <ds:schemaRef ds:uri="http://schemas.microsoft.com/sharepoint/v3/contenttype/forms"/>
  </ds:schemaRefs>
</ds:datastoreItem>
</file>

<file path=customXml/itemProps3.xml><?xml version="1.0" encoding="utf-8"?>
<ds:datastoreItem xmlns:ds="http://schemas.openxmlformats.org/officeDocument/2006/customXml" ds:itemID="{7250EEB6-93C2-407A-BE93-39673E4D220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MKitces</dc:creator>
  <keywords/>
  <lastModifiedBy>Paula Frey</lastModifiedBy>
  <revision>3</revision>
  <dcterms:created xsi:type="dcterms:W3CDTF">2024-02-06T21:06:00.0000000Z</dcterms:created>
  <dcterms:modified xsi:type="dcterms:W3CDTF">2025-04-10T16:32:03.6521965Z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Order">
    <vt:r8>1924700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