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4FD0C" w14:textId="12669867" w:rsidR="008B647D" w:rsidRDefault="008B647D" w:rsidP="008B647D">
      <w:r w:rsidRPr="486528C9">
        <w:rPr>
          <w:i/>
          <w:iCs/>
        </w:rPr>
        <w:t xml:space="preserve">Presentation: </w:t>
      </w:r>
      <w:r>
        <w:br/>
      </w:r>
      <w:r w:rsidR="00A441BF">
        <w:t>An Advisor’s Guide to the 20% Pass-Through Deduction</w:t>
      </w:r>
    </w:p>
    <w:p w14:paraId="29909F0B" w14:textId="759EFD63" w:rsidR="486528C9" w:rsidRDefault="486528C9" w:rsidP="486528C9">
      <w:pPr>
        <w:rPr>
          <w:color w:val="000000" w:themeColor="text1"/>
          <w:sz w:val="22"/>
          <w:szCs w:val="22"/>
        </w:rPr>
      </w:pPr>
      <w:r>
        <w:br/>
      </w:r>
      <w:r w:rsidRPr="486528C9">
        <w:rPr>
          <w:i/>
          <w:iCs/>
          <w:color w:val="000000" w:themeColor="text1"/>
        </w:rPr>
        <w:t xml:space="preserve">Presenter: </w:t>
      </w:r>
      <w:r>
        <w:br/>
      </w:r>
      <w:r w:rsidRPr="486528C9">
        <w:rPr>
          <w:i/>
          <w:iCs/>
          <w:color w:val="000000" w:themeColor="text1"/>
        </w:rPr>
        <w:t>Jeffrey Levine, CPA/PFS, CFP</w:t>
      </w:r>
      <w:r w:rsidRPr="486528C9">
        <w:rPr>
          <w:color w:val="000000" w:themeColor="text1"/>
          <w:sz w:val="22"/>
          <w:szCs w:val="22"/>
          <w:vertAlign w:val="superscript"/>
        </w:rPr>
        <w:t>®</w:t>
      </w:r>
      <w:r w:rsidRPr="486528C9">
        <w:rPr>
          <w:color w:val="000000" w:themeColor="text1"/>
          <w:sz w:val="22"/>
          <w:szCs w:val="22"/>
        </w:rPr>
        <w:t>, CWS</w:t>
      </w:r>
      <w:r w:rsidRPr="486528C9">
        <w:rPr>
          <w:color w:val="000000" w:themeColor="text1"/>
          <w:sz w:val="22"/>
          <w:szCs w:val="22"/>
          <w:vertAlign w:val="superscript"/>
        </w:rPr>
        <w:t>®</w:t>
      </w:r>
      <w:r w:rsidRPr="486528C9">
        <w:rPr>
          <w:color w:val="000000" w:themeColor="text1"/>
          <w:sz w:val="22"/>
          <w:szCs w:val="22"/>
        </w:rPr>
        <w:t>, BFA</w:t>
      </w:r>
      <w:r w:rsidRPr="486528C9">
        <w:rPr>
          <w:color w:val="000000" w:themeColor="text1"/>
          <w:sz w:val="22"/>
          <w:szCs w:val="22"/>
          <w:vertAlign w:val="superscript"/>
        </w:rPr>
        <w:t>®</w:t>
      </w:r>
      <w:r w:rsidRPr="486528C9">
        <w:rPr>
          <w:color w:val="000000" w:themeColor="text1"/>
          <w:sz w:val="22"/>
          <w:szCs w:val="22"/>
        </w:rPr>
        <w:t>, MSA is the Lead Financial Planning Nerd for</w:t>
      </w:r>
      <w:r w:rsidRPr="486528C9">
        <w:rPr>
          <w:color w:val="333333"/>
          <w:sz w:val="22"/>
          <w:szCs w:val="22"/>
        </w:rPr>
        <w:t> </w:t>
      </w:r>
      <w:hyperlink r:id="rId8">
        <w:r w:rsidRPr="486528C9">
          <w:rPr>
            <w:rStyle w:val="Hyperlink"/>
            <w:sz w:val="22"/>
            <w:szCs w:val="22"/>
          </w:rPr>
          <w:t>Kitces.com</w:t>
        </w:r>
      </w:hyperlink>
      <w:r w:rsidRPr="486528C9">
        <w:rPr>
          <w:color w:val="333333"/>
          <w:sz w:val="22"/>
          <w:szCs w:val="22"/>
        </w:rPr>
        <w:t xml:space="preserve"> and the Chief Planning Officer </w:t>
      </w:r>
      <w:r w:rsidRPr="486528C9">
        <w:rPr>
          <w:color w:val="000000" w:themeColor="text1"/>
          <w:sz w:val="22"/>
          <w:szCs w:val="22"/>
        </w:rPr>
        <w:t>at</w:t>
      </w:r>
      <w:r w:rsidR="00C35C60">
        <w:t>Focus Partners Wealth</w:t>
      </w:r>
      <w:r w:rsidRPr="486528C9">
        <w:rPr>
          <w:color w:val="000000" w:themeColor="text1"/>
          <w:sz w:val="22"/>
          <w:szCs w:val="22"/>
        </w:rPr>
        <w:t>. In 2020, Mr. Levine was named by Investment Advisor Magazine as one of the top 25 voices to turn to during uncertain times, and was named to the IA25 again in 2021. Jeff is a past recipient of the</w:t>
      </w:r>
      <w:r w:rsidRPr="486528C9">
        <w:rPr>
          <w:color w:val="333333"/>
          <w:sz w:val="22"/>
          <w:szCs w:val="22"/>
        </w:rPr>
        <w:t> </w:t>
      </w:r>
      <w:hyperlink r:id="rId9">
        <w:r w:rsidRPr="486528C9">
          <w:rPr>
            <w:rStyle w:val="Hyperlink"/>
            <w:sz w:val="22"/>
            <w:szCs w:val="22"/>
          </w:rPr>
          <w:t>Standing Ovation award</w:t>
        </w:r>
      </w:hyperlink>
      <w:r w:rsidRPr="486528C9">
        <w:rPr>
          <w:color w:val="333333"/>
          <w:sz w:val="22"/>
          <w:szCs w:val="22"/>
        </w:rPr>
        <w:t xml:space="preserve">, </w:t>
      </w:r>
      <w:r w:rsidRPr="486528C9">
        <w:rPr>
          <w:color w:val="000000" w:themeColor="text1"/>
          <w:sz w:val="22"/>
          <w:szCs w:val="22"/>
        </w:rPr>
        <w:t>presented by the AICPA Financial Planning Division, was named to the</w:t>
      </w:r>
      <w:r w:rsidRPr="486528C9">
        <w:rPr>
          <w:color w:val="333333"/>
          <w:sz w:val="22"/>
          <w:szCs w:val="22"/>
        </w:rPr>
        <w:t> </w:t>
      </w:r>
      <w:hyperlink r:id="rId10">
        <w:r w:rsidRPr="486528C9">
          <w:rPr>
            <w:rStyle w:val="Hyperlink"/>
            <w:sz w:val="22"/>
            <w:szCs w:val="22"/>
          </w:rPr>
          <w:t>2017 class of 40 Under 40</w:t>
        </w:r>
      </w:hyperlink>
      <w:r w:rsidRPr="486528C9">
        <w:rPr>
          <w:color w:val="333333"/>
          <w:sz w:val="22"/>
          <w:szCs w:val="22"/>
        </w:rPr>
        <w:t> </w:t>
      </w:r>
      <w:r w:rsidRPr="486528C9">
        <w:rPr>
          <w:color w:val="000000" w:themeColor="text1"/>
          <w:sz w:val="22"/>
          <w:szCs w:val="22"/>
        </w:rPr>
        <w:t>by InvestmentNews, and as a Young Advisor to Watch by Financial Advisor Magazine in 2020. Previously, Jeffrey served as Ed Slott and Company’s Chief Retirement Strategist, where his ability to simplify the complex laws that govern individual retirement accounts, combined with his unique blend of humor and tax planning, was first recognized. You can follow Jeff on Twitter</w:t>
      </w:r>
      <w:r w:rsidRPr="486528C9">
        <w:rPr>
          <w:color w:val="333333"/>
          <w:sz w:val="22"/>
          <w:szCs w:val="22"/>
        </w:rPr>
        <w:t> </w:t>
      </w:r>
      <w:hyperlink r:id="rId11">
        <w:r w:rsidRPr="486528C9">
          <w:rPr>
            <w:rStyle w:val="Hyperlink"/>
            <w:sz w:val="22"/>
            <w:szCs w:val="22"/>
          </w:rPr>
          <w:t>@CPAPlanner</w:t>
        </w:r>
      </w:hyperlink>
      <w:r w:rsidRPr="486528C9">
        <w:rPr>
          <w:color w:val="333333"/>
          <w:sz w:val="22"/>
          <w:szCs w:val="22"/>
        </w:rPr>
        <w:t xml:space="preserve">, where he is known to break down the latest tax updates in GIF-filled tweets storms, </w:t>
      </w:r>
      <w:r w:rsidRPr="486528C9">
        <w:rPr>
          <w:color w:val="000000" w:themeColor="text1"/>
          <w:sz w:val="22"/>
          <w:szCs w:val="22"/>
        </w:rPr>
        <w:t xml:space="preserve">and via his personal website, </w:t>
      </w:r>
      <w:r w:rsidRPr="486528C9">
        <w:rPr>
          <w:sz w:val="22"/>
          <w:szCs w:val="22"/>
        </w:rPr>
        <w:t>www.FullyVestedAdvice.com</w:t>
      </w:r>
      <w:r w:rsidRPr="486528C9">
        <w:rPr>
          <w:color w:val="000000" w:themeColor="text1"/>
          <w:sz w:val="22"/>
          <w:szCs w:val="22"/>
        </w:rPr>
        <w:t>.</w:t>
      </w:r>
    </w:p>
    <w:p w14:paraId="147645EE" w14:textId="2EAC5ED2" w:rsidR="486528C9" w:rsidRDefault="486528C9" w:rsidP="486528C9"/>
    <w:p w14:paraId="34AACE05" w14:textId="77777777" w:rsidR="00C90F3A" w:rsidRPr="0083149F" w:rsidRDefault="00C90F3A" w:rsidP="00147352"/>
    <w:p w14:paraId="475DDFCD" w14:textId="42774942" w:rsidR="008B647D" w:rsidRPr="00DB78C1" w:rsidRDefault="3B1AB550" w:rsidP="3B1AB550">
      <w:pPr>
        <w:rPr>
          <w:i/>
          <w:iCs/>
        </w:rPr>
      </w:pPr>
      <w:r w:rsidRPr="3B1AB550">
        <w:rPr>
          <w:i/>
          <w:iCs/>
        </w:rPr>
        <w:t>Session Description</w:t>
      </w:r>
    </w:p>
    <w:p w14:paraId="59627DE8" w14:textId="04B77ECB" w:rsidR="00A441BF" w:rsidRDefault="009E08F6" w:rsidP="008B647D">
      <w:r w:rsidRPr="009E08F6">
        <w:t>For many business-owner clients, one of the most significant changes made by the Tax Cuts and Jobs Act (TCJA) was the creation of the new 199A deduction. This deduction, better known as the 20% pass-through deduction, has the potential to be one of the biggest tax-savers for certain clients, but it’s also undoubtedly one of the most complicated provisions in the entire TCJA. The good news is that since the enactment of the TCJA, the IRS has issued a substantial amount of guidance intended to clarify varying aspects of the new provision. The bad news is that much of that guidance is counter-intuitive to what one might expect by simply reading the plan language of the statute. Advisors who can quickly and thoroughly learn the intricate ins and outs of the 199A deduction will easily stand out from the competition.</w:t>
      </w:r>
    </w:p>
    <w:p w14:paraId="0E87DBDC" w14:textId="77777777" w:rsidR="009E08F6" w:rsidRDefault="009E08F6" w:rsidP="008B647D"/>
    <w:p w14:paraId="33A474A7" w14:textId="2BD0CAA9" w:rsidR="00147352" w:rsidRDefault="00147352" w:rsidP="00147352">
      <w:pPr>
        <w:rPr>
          <w:i/>
        </w:rPr>
      </w:pPr>
      <w:r>
        <w:rPr>
          <w:i/>
        </w:rPr>
        <w:t>Learning Objectives:</w:t>
      </w:r>
    </w:p>
    <w:p w14:paraId="03FB8DD0" w14:textId="77777777" w:rsidR="00A441BF" w:rsidRDefault="00A441BF" w:rsidP="00147352"/>
    <w:p w14:paraId="10DF874D" w14:textId="0596EAB2" w:rsidR="00A441BF" w:rsidRDefault="00A441BF" w:rsidP="00A441BF">
      <w:pPr>
        <w:numPr>
          <w:ilvl w:val="0"/>
          <w:numId w:val="4"/>
        </w:numPr>
      </w:pPr>
      <w:r w:rsidRPr="00A441BF">
        <w:t>Explore the “basics” of the 199A deduction.</w:t>
      </w:r>
    </w:p>
    <w:p w14:paraId="09B64F56" w14:textId="77777777" w:rsidR="00A441BF" w:rsidRPr="00A441BF" w:rsidRDefault="00A441BF" w:rsidP="00A441BF">
      <w:pPr>
        <w:ind w:left="720"/>
      </w:pPr>
    </w:p>
    <w:p w14:paraId="6A56593B" w14:textId="320E5136" w:rsidR="00A441BF" w:rsidRDefault="00A441BF" w:rsidP="00A441BF">
      <w:pPr>
        <w:numPr>
          <w:ilvl w:val="0"/>
          <w:numId w:val="4"/>
        </w:numPr>
      </w:pPr>
      <w:r w:rsidRPr="00A441BF">
        <w:t>Understand how the deduction applies to “low-income” clients.</w:t>
      </w:r>
    </w:p>
    <w:p w14:paraId="6A4E5C95" w14:textId="77777777" w:rsidR="00A441BF" w:rsidRPr="00A441BF" w:rsidRDefault="00A441BF" w:rsidP="00A441BF"/>
    <w:p w14:paraId="0DAA187C" w14:textId="2683C079" w:rsidR="00A441BF" w:rsidRDefault="00A441BF" w:rsidP="00A441BF">
      <w:pPr>
        <w:numPr>
          <w:ilvl w:val="0"/>
          <w:numId w:val="4"/>
        </w:numPr>
      </w:pPr>
      <w:r w:rsidRPr="00A441BF">
        <w:t>Learn how the deduction applies to high-income clients.</w:t>
      </w:r>
    </w:p>
    <w:p w14:paraId="277BA6D1" w14:textId="77777777" w:rsidR="00A441BF" w:rsidRPr="00A441BF" w:rsidRDefault="00A441BF" w:rsidP="00A441BF"/>
    <w:p w14:paraId="5179FDAD" w14:textId="77777777" w:rsidR="00A441BF" w:rsidRPr="00A441BF" w:rsidRDefault="00A441BF" w:rsidP="00A441BF">
      <w:pPr>
        <w:numPr>
          <w:ilvl w:val="0"/>
          <w:numId w:val="4"/>
        </w:numPr>
      </w:pPr>
      <w:r w:rsidRPr="00A441BF">
        <w:t>Develop strategies to help clients maximize the deduction.</w:t>
      </w:r>
    </w:p>
    <w:p w14:paraId="4F51AAB2" w14:textId="386E6441" w:rsidR="00147352" w:rsidRDefault="00147352" w:rsidP="00F31F35">
      <w:pPr>
        <w:ind w:left="900" w:hanging="900"/>
        <w:rPr>
          <w:i/>
        </w:rPr>
      </w:pPr>
    </w:p>
    <w:p w14:paraId="0B0E44C3" w14:textId="77777777" w:rsidR="00147352" w:rsidRPr="00886F9D" w:rsidRDefault="00147352" w:rsidP="00147352">
      <w:pPr>
        <w:rPr>
          <w:i/>
        </w:rPr>
      </w:pPr>
      <w:r>
        <w:rPr>
          <w:i/>
        </w:rPr>
        <w:t>Level of Complexity:</w:t>
      </w:r>
    </w:p>
    <w:p w14:paraId="3D709500" w14:textId="77777777" w:rsidR="00147352" w:rsidRDefault="00147352" w:rsidP="00147352">
      <w:r>
        <w:t xml:space="preserve">- </w:t>
      </w:r>
      <w:r w:rsidR="00BD1F06">
        <w:t xml:space="preserve">&lt; Beginner / Intermediate / </w:t>
      </w:r>
      <w:r>
        <w:t>Advanced</w:t>
      </w:r>
      <w:r w:rsidR="00BD1F06">
        <w:t>&gt;</w:t>
      </w:r>
    </w:p>
    <w:p w14:paraId="231108A1" w14:textId="77777777" w:rsidR="00147352" w:rsidRDefault="00147352" w:rsidP="00147352"/>
    <w:p w14:paraId="5F84C3FB" w14:textId="77777777" w:rsidR="00147352" w:rsidRDefault="00147352" w:rsidP="00147352">
      <w:r>
        <w:rPr>
          <w:i/>
        </w:rPr>
        <w:t>Topic Area(s):</w:t>
      </w:r>
    </w:p>
    <w:p w14:paraId="035F5692" w14:textId="77777777" w:rsidR="00147352" w:rsidRPr="00886F9D" w:rsidRDefault="3B1AB550" w:rsidP="00147352">
      <w:r>
        <w:t xml:space="preserve">- &lt; General Principles of Financial Planning / Insurance Planning / Investment Planning </w:t>
      </w:r>
      <w:r w:rsidRPr="3B1AB550">
        <w:rPr>
          <w:highlight w:val="yellow"/>
        </w:rPr>
        <w:t>/ Income Tax Planning</w:t>
      </w:r>
      <w:r>
        <w:t xml:space="preserve"> / Retirement Planning / Estate Planning / Client Trust &amp; Communication &gt;</w:t>
      </w:r>
    </w:p>
    <w:p w14:paraId="7B88BF1B" w14:textId="77777777" w:rsidR="00147352" w:rsidRDefault="00147352" w:rsidP="00147352"/>
    <w:p w14:paraId="4818651F" w14:textId="77777777" w:rsidR="00147352" w:rsidRPr="00886F9D" w:rsidRDefault="00147352" w:rsidP="00147352">
      <w:pPr>
        <w:rPr>
          <w:i/>
        </w:rPr>
      </w:pPr>
      <w:r>
        <w:rPr>
          <w:i/>
        </w:rPr>
        <w:t>Hour(s) of CE:</w:t>
      </w:r>
    </w:p>
    <w:p w14:paraId="6AEC28E8" w14:textId="0B3BEE54" w:rsidR="00147352" w:rsidRDefault="00147352" w:rsidP="00147352">
      <w:r>
        <w:t xml:space="preserve">- </w:t>
      </w:r>
      <w:r w:rsidR="00014D9D">
        <w:t>1 CE</w:t>
      </w:r>
    </w:p>
    <w:p w14:paraId="00EA3389" w14:textId="77777777" w:rsidR="00147352" w:rsidRDefault="00147352" w:rsidP="008B647D"/>
    <w:p w14:paraId="33C7CDEF" w14:textId="77777777" w:rsidR="005E7A5D" w:rsidRPr="00147352" w:rsidRDefault="00147352">
      <w:pPr>
        <w:rPr>
          <w:i/>
        </w:rPr>
      </w:pPr>
      <w:r>
        <w:rPr>
          <w:i/>
        </w:rPr>
        <w:br w:type="page"/>
        <w:t>Outline:</w:t>
      </w:r>
    </w:p>
    <w:p w14:paraId="27960BEC" w14:textId="16711523" w:rsidR="00ED4DC6" w:rsidRDefault="00ED4DC6" w:rsidP="3B1AB550">
      <w:pPr>
        <w:numPr>
          <w:ilvl w:val="0"/>
          <w:numId w:val="2"/>
        </w:numPr>
        <w:spacing w:line="360" w:lineRule="auto"/>
        <w:rPr>
          <w:sz w:val="22"/>
          <w:szCs w:val="22"/>
        </w:rPr>
      </w:pPr>
      <w:r>
        <w:rPr>
          <w:sz w:val="22"/>
          <w:szCs w:val="22"/>
        </w:rPr>
        <w:t>Determining what income is eligible for the QBI deduction: 5 minutes</w:t>
      </w:r>
    </w:p>
    <w:p w14:paraId="13342863" w14:textId="37E00113" w:rsidR="00646738" w:rsidRDefault="00646738" w:rsidP="3B1AB550">
      <w:pPr>
        <w:numPr>
          <w:ilvl w:val="0"/>
          <w:numId w:val="2"/>
        </w:numPr>
        <w:spacing w:line="360" w:lineRule="auto"/>
        <w:rPr>
          <w:sz w:val="22"/>
          <w:szCs w:val="22"/>
        </w:rPr>
      </w:pPr>
      <w:r w:rsidRPr="00646738">
        <w:rPr>
          <w:sz w:val="22"/>
          <w:szCs w:val="22"/>
        </w:rPr>
        <w:t>C</w:t>
      </w:r>
      <w:r w:rsidR="004715FB">
        <w:rPr>
          <w:sz w:val="22"/>
          <w:szCs w:val="22"/>
        </w:rPr>
        <w:t>alculating the QBI Deduction: 15</w:t>
      </w:r>
      <w:r w:rsidRPr="00646738">
        <w:rPr>
          <w:sz w:val="22"/>
          <w:szCs w:val="22"/>
        </w:rPr>
        <w:t xml:space="preserve"> Minutes</w:t>
      </w:r>
    </w:p>
    <w:p w14:paraId="56ECBBF8" w14:textId="330939D7" w:rsidR="004715FB" w:rsidRPr="00646738" w:rsidRDefault="004715FB" w:rsidP="3B1AB550">
      <w:pPr>
        <w:numPr>
          <w:ilvl w:val="0"/>
          <w:numId w:val="2"/>
        </w:numPr>
        <w:spacing w:line="360" w:lineRule="auto"/>
        <w:rPr>
          <w:sz w:val="22"/>
          <w:szCs w:val="22"/>
        </w:rPr>
      </w:pPr>
      <w:r>
        <w:rPr>
          <w:sz w:val="22"/>
          <w:szCs w:val="22"/>
        </w:rPr>
        <w:t xml:space="preserve">Overview of Specified Service Trade or Business (SSTB): </w:t>
      </w:r>
      <w:r w:rsidR="00ED4DC6">
        <w:rPr>
          <w:sz w:val="22"/>
          <w:szCs w:val="22"/>
        </w:rPr>
        <w:t>10</w:t>
      </w:r>
      <w:r>
        <w:rPr>
          <w:sz w:val="22"/>
          <w:szCs w:val="22"/>
        </w:rPr>
        <w:t xml:space="preserve"> minutes</w:t>
      </w:r>
    </w:p>
    <w:p w14:paraId="34CC79E1" w14:textId="5128545D" w:rsidR="3B1AB550" w:rsidRDefault="3B1AB550" w:rsidP="3B1AB550">
      <w:pPr>
        <w:numPr>
          <w:ilvl w:val="0"/>
          <w:numId w:val="2"/>
        </w:numPr>
        <w:spacing w:line="360" w:lineRule="auto"/>
        <w:rPr>
          <w:sz w:val="22"/>
          <w:szCs w:val="22"/>
        </w:rPr>
      </w:pPr>
      <w:r w:rsidRPr="3B1AB550">
        <w:rPr>
          <w:sz w:val="22"/>
          <w:szCs w:val="22"/>
        </w:rPr>
        <w:t>Planning Strategies t</w:t>
      </w:r>
      <w:r w:rsidR="004715FB">
        <w:rPr>
          <w:sz w:val="22"/>
          <w:szCs w:val="22"/>
        </w:rPr>
        <w:t>o Maximize the QBI Deduction: 30</w:t>
      </w:r>
      <w:r w:rsidRPr="3B1AB550">
        <w:rPr>
          <w:sz w:val="22"/>
          <w:szCs w:val="22"/>
        </w:rPr>
        <w:t xml:space="preserve"> minutes</w:t>
      </w:r>
    </w:p>
    <w:p w14:paraId="12EBF522" w14:textId="7E7E5230" w:rsidR="3B1AB550" w:rsidRPr="004715FB" w:rsidRDefault="004715FB" w:rsidP="004715FB">
      <w:pPr>
        <w:numPr>
          <w:ilvl w:val="1"/>
          <w:numId w:val="2"/>
        </w:numPr>
        <w:spacing w:line="360" w:lineRule="auto"/>
        <w:rPr>
          <w:sz w:val="22"/>
          <w:szCs w:val="22"/>
        </w:rPr>
      </w:pPr>
      <w:r>
        <w:rPr>
          <w:sz w:val="22"/>
          <w:szCs w:val="22"/>
        </w:rPr>
        <w:t xml:space="preserve">Income Reduction Strategies: </w:t>
      </w:r>
      <w:r w:rsidR="00ED4DC6">
        <w:rPr>
          <w:sz w:val="22"/>
          <w:szCs w:val="22"/>
        </w:rPr>
        <w:t>15</w:t>
      </w:r>
      <w:r w:rsidR="3B1AB550" w:rsidRPr="3B1AB550">
        <w:rPr>
          <w:sz w:val="22"/>
          <w:szCs w:val="22"/>
        </w:rPr>
        <w:t xml:space="preserve"> minutes</w:t>
      </w:r>
    </w:p>
    <w:p w14:paraId="6E722181" w14:textId="4F24030F" w:rsidR="004715FB" w:rsidRDefault="004715FB" w:rsidP="00ED4DC6">
      <w:pPr>
        <w:numPr>
          <w:ilvl w:val="1"/>
          <w:numId w:val="2"/>
        </w:numPr>
        <w:spacing w:line="360" w:lineRule="auto"/>
        <w:rPr>
          <w:sz w:val="22"/>
          <w:szCs w:val="22"/>
        </w:rPr>
      </w:pPr>
      <w:r>
        <w:rPr>
          <w:sz w:val="22"/>
          <w:szCs w:val="22"/>
        </w:rPr>
        <w:t>Business Strategies: 10</w:t>
      </w:r>
      <w:r w:rsidR="3B1AB550" w:rsidRPr="3B1AB550">
        <w:rPr>
          <w:sz w:val="22"/>
          <w:szCs w:val="22"/>
        </w:rPr>
        <w:t xml:space="preserve"> minutes</w:t>
      </w:r>
    </w:p>
    <w:p w14:paraId="33962799" w14:textId="020DD5C5" w:rsidR="00ED4DC6" w:rsidRPr="00ED4DC6" w:rsidRDefault="00ED4DC6" w:rsidP="00ED4DC6">
      <w:pPr>
        <w:numPr>
          <w:ilvl w:val="1"/>
          <w:numId w:val="2"/>
        </w:numPr>
        <w:spacing w:line="360" w:lineRule="auto"/>
        <w:rPr>
          <w:sz w:val="22"/>
          <w:szCs w:val="22"/>
        </w:rPr>
      </w:pPr>
      <w:r>
        <w:rPr>
          <w:sz w:val="22"/>
          <w:szCs w:val="22"/>
        </w:rPr>
        <w:t>Miscellaneous Strategies: 5 minutes</w:t>
      </w:r>
    </w:p>
    <w:p w14:paraId="67E76B67" w14:textId="010ED2A0" w:rsidR="3B1AB550" w:rsidRDefault="3B1AB550" w:rsidP="00ED4DC6">
      <w:pPr>
        <w:rPr>
          <w:sz w:val="22"/>
          <w:szCs w:val="22"/>
        </w:rPr>
      </w:pPr>
    </w:p>
    <w:p w14:paraId="18963DD9" w14:textId="0AB272DE" w:rsidR="00CA5C63" w:rsidRDefault="004715FB" w:rsidP="3B1AB550">
      <w:pPr>
        <w:ind w:left="5760"/>
        <w:rPr>
          <w:sz w:val="22"/>
          <w:szCs w:val="22"/>
        </w:rPr>
      </w:pPr>
      <w:r>
        <w:rPr>
          <w:sz w:val="22"/>
          <w:szCs w:val="22"/>
        </w:rPr>
        <w:t>Total: 60</w:t>
      </w:r>
      <w:r w:rsidR="005B696B">
        <w:rPr>
          <w:sz w:val="22"/>
          <w:szCs w:val="22"/>
        </w:rPr>
        <w:t xml:space="preserve"> </w:t>
      </w:r>
      <w:r w:rsidR="00CA5C63" w:rsidRPr="00CA5C63">
        <w:rPr>
          <w:sz w:val="22"/>
          <w:szCs w:val="22"/>
        </w:rPr>
        <w:t>minutes</w:t>
      </w:r>
    </w:p>
    <w:p w14:paraId="56CF6A86" w14:textId="265A7B02" w:rsidR="00BD1F06" w:rsidRPr="00CA5C63" w:rsidRDefault="00602D0D" w:rsidP="00CA5C63">
      <w:pPr>
        <w:ind w:left="5760"/>
        <w:rPr>
          <w:sz w:val="22"/>
          <w:szCs w:val="22"/>
        </w:rPr>
      </w:pPr>
      <w:r>
        <w:rPr>
          <w:sz w:val="22"/>
          <w:szCs w:val="22"/>
        </w:rPr>
        <w:t>Q&amp;A: 15 minutes</w:t>
      </w:r>
    </w:p>
    <w:sectPr w:rsidR="00BD1F06" w:rsidRPr="00CA5C63" w:rsidSect="005E7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B0E2D"/>
    <w:multiLevelType w:val="hybridMultilevel"/>
    <w:tmpl w:val="03727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C2CC3"/>
    <w:multiLevelType w:val="hybridMultilevel"/>
    <w:tmpl w:val="5ECE67A6"/>
    <w:lvl w:ilvl="0" w:tplc="FFFFFFFF">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DB2F3D"/>
    <w:multiLevelType w:val="hybridMultilevel"/>
    <w:tmpl w:val="09E85136"/>
    <w:lvl w:ilvl="0" w:tplc="F6C0C67A">
      <w:numFmt w:val="bullet"/>
      <w:lvlText w:val="-"/>
      <w:lvlJc w:val="left"/>
      <w:pPr>
        <w:ind w:left="720" w:hanging="360"/>
      </w:pPr>
      <w:rPr>
        <w:rFonts w:ascii="Times New Roman" w:hAnsi="Times New Roman" w:hint="default"/>
      </w:rPr>
    </w:lvl>
    <w:lvl w:ilvl="1" w:tplc="E8CA1FA4">
      <w:start w:val="1"/>
      <w:numFmt w:val="bullet"/>
      <w:lvlText w:val="o"/>
      <w:lvlJc w:val="left"/>
      <w:pPr>
        <w:ind w:left="1440" w:hanging="360"/>
      </w:pPr>
      <w:rPr>
        <w:rFonts w:ascii="Courier New" w:hAnsi="Courier New" w:hint="default"/>
      </w:rPr>
    </w:lvl>
    <w:lvl w:ilvl="2" w:tplc="19BE0594">
      <w:start w:val="1"/>
      <w:numFmt w:val="bullet"/>
      <w:lvlText w:val=""/>
      <w:lvlJc w:val="left"/>
      <w:pPr>
        <w:ind w:left="2160" w:hanging="360"/>
      </w:pPr>
      <w:rPr>
        <w:rFonts w:ascii="Wingdings" w:hAnsi="Wingdings" w:hint="default"/>
      </w:rPr>
    </w:lvl>
    <w:lvl w:ilvl="3" w:tplc="706A160E">
      <w:start w:val="1"/>
      <w:numFmt w:val="bullet"/>
      <w:lvlText w:val=""/>
      <w:lvlJc w:val="left"/>
      <w:pPr>
        <w:ind w:left="2880" w:hanging="360"/>
      </w:pPr>
      <w:rPr>
        <w:rFonts w:ascii="Symbol" w:hAnsi="Symbol" w:hint="default"/>
      </w:rPr>
    </w:lvl>
    <w:lvl w:ilvl="4" w:tplc="7A045D36">
      <w:start w:val="1"/>
      <w:numFmt w:val="bullet"/>
      <w:lvlText w:val="o"/>
      <w:lvlJc w:val="left"/>
      <w:pPr>
        <w:ind w:left="3600" w:hanging="360"/>
      </w:pPr>
      <w:rPr>
        <w:rFonts w:ascii="Courier New" w:hAnsi="Courier New" w:hint="default"/>
      </w:rPr>
    </w:lvl>
    <w:lvl w:ilvl="5" w:tplc="6DC46458">
      <w:start w:val="1"/>
      <w:numFmt w:val="bullet"/>
      <w:lvlText w:val=""/>
      <w:lvlJc w:val="left"/>
      <w:pPr>
        <w:ind w:left="4320" w:hanging="360"/>
      </w:pPr>
      <w:rPr>
        <w:rFonts w:ascii="Wingdings" w:hAnsi="Wingdings" w:hint="default"/>
      </w:rPr>
    </w:lvl>
    <w:lvl w:ilvl="6" w:tplc="F2400EC4">
      <w:start w:val="1"/>
      <w:numFmt w:val="bullet"/>
      <w:lvlText w:val=""/>
      <w:lvlJc w:val="left"/>
      <w:pPr>
        <w:ind w:left="5040" w:hanging="360"/>
      </w:pPr>
      <w:rPr>
        <w:rFonts w:ascii="Symbol" w:hAnsi="Symbol" w:hint="default"/>
      </w:rPr>
    </w:lvl>
    <w:lvl w:ilvl="7" w:tplc="B5F89152">
      <w:start w:val="1"/>
      <w:numFmt w:val="bullet"/>
      <w:lvlText w:val="o"/>
      <w:lvlJc w:val="left"/>
      <w:pPr>
        <w:ind w:left="5760" w:hanging="360"/>
      </w:pPr>
      <w:rPr>
        <w:rFonts w:ascii="Courier New" w:hAnsi="Courier New" w:hint="default"/>
      </w:rPr>
    </w:lvl>
    <w:lvl w:ilvl="8" w:tplc="6EA074CE">
      <w:start w:val="1"/>
      <w:numFmt w:val="bullet"/>
      <w:lvlText w:val=""/>
      <w:lvlJc w:val="left"/>
      <w:pPr>
        <w:ind w:left="6480" w:hanging="360"/>
      </w:pPr>
      <w:rPr>
        <w:rFonts w:ascii="Wingdings" w:hAnsi="Wingdings" w:hint="default"/>
      </w:rPr>
    </w:lvl>
  </w:abstractNum>
  <w:abstractNum w:abstractNumId="3" w15:restartNumberingAfterBreak="0">
    <w:nsid w:val="7F9430AD"/>
    <w:multiLevelType w:val="hybridMultilevel"/>
    <w:tmpl w:val="1AC07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721038">
    <w:abstractNumId w:val="2"/>
  </w:num>
  <w:num w:numId="2" w16cid:durableId="1618874690">
    <w:abstractNumId w:val="1"/>
  </w:num>
  <w:num w:numId="3" w16cid:durableId="148907023">
    <w:abstractNumId w:val="3"/>
  </w:num>
  <w:num w:numId="4" w16cid:durableId="1028994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647D"/>
    <w:rsid w:val="00014D9D"/>
    <w:rsid w:val="00033080"/>
    <w:rsid w:val="00051AD4"/>
    <w:rsid w:val="00147352"/>
    <w:rsid w:val="001A3C4A"/>
    <w:rsid w:val="00204D11"/>
    <w:rsid w:val="002352A6"/>
    <w:rsid w:val="00250807"/>
    <w:rsid w:val="002662AC"/>
    <w:rsid w:val="002F5158"/>
    <w:rsid w:val="00340F52"/>
    <w:rsid w:val="003D16BC"/>
    <w:rsid w:val="004715FB"/>
    <w:rsid w:val="00591CA0"/>
    <w:rsid w:val="005B696B"/>
    <w:rsid w:val="005E7A5D"/>
    <w:rsid w:val="00602D0D"/>
    <w:rsid w:val="00646738"/>
    <w:rsid w:val="006D0A0B"/>
    <w:rsid w:val="006D4297"/>
    <w:rsid w:val="008436DE"/>
    <w:rsid w:val="00882014"/>
    <w:rsid w:val="008B647D"/>
    <w:rsid w:val="008C1018"/>
    <w:rsid w:val="008C36BF"/>
    <w:rsid w:val="009E08F6"/>
    <w:rsid w:val="00A441BF"/>
    <w:rsid w:val="00AC7D30"/>
    <w:rsid w:val="00B139FC"/>
    <w:rsid w:val="00BD1F06"/>
    <w:rsid w:val="00C35C60"/>
    <w:rsid w:val="00C4355B"/>
    <w:rsid w:val="00C90F3A"/>
    <w:rsid w:val="00C92846"/>
    <w:rsid w:val="00CA5C63"/>
    <w:rsid w:val="00CB3C37"/>
    <w:rsid w:val="00D54696"/>
    <w:rsid w:val="00D81E8C"/>
    <w:rsid w:val="00DA6967"/>
    <w:rsid w:val="00EA11F3"/>
    <w:rsid w:val="00ED4DC6"/>
    <w:rsid w:val="00F0758B"/>
    <w:rsid w:val="00F31F35"/>
    <w:rsid w:val="00FE2DE0"/>
    <w:rsid w:val="00FF1735"/>
    <w:rsid w:val="1ADA67E1"/>
    <w:rsid w:val="1D4E2001"/>
    <w:rsid w:val="3B1AB550"/>
    <w:rsid w:val="4865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52774"/>
  <w15:docId w15:val="{D912AEAD-EB64-47F4-B50A-2440BFBF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47D"/>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B647D"/>
    <w:rPr>
      <w:color w:val="0000FF"/>
      <w:u w:val="single"/>
    </w:rPr>
  </w:style>
  <w:style w:type="paragraph" w:styleId="ListParagraph">
    <w:name w:val="List Paragraph"/>
    <w:basedOn w:val="Normal"/>
    <w:uiPriority w:val="34"/>
    <w:qFormat/>
    <w:rsid w:val="00F31F35"/>
    <w:pPr>
      <w:spacing w:line="276" w:lineRule="auto"/>
      <w:ind w:left="720"/>
      <w:contextualSpacing/>
    </w:pPr>
    <w:rPr>
      <w:rFonts w:ascii="Calibri" w:eastAsia="Calibri" w:hAnsi="Calibr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itces.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witter.com/CPAPlanner" TargetMode="External"/><Relationship Id="rId5" Type="http://schemas.openxmlformats.org/officeDocument/2006/relationships/styles" Target="styles.xml"/><Relationship Id="rId10" Type="http://schemas.openxmlformats.org/officeDocument/2006/relationships/hyperlink" Target="http://www.investmentnews.com/section/40-under-40/2017/profile/24/Jeffrey-Levine" TargetMode="External"/><Relationship Id="rId4" Type="http://schemas.openxmlformats.org/officeDocument/2006/relationships/numbering" Target="numbering.xml"/><Relationship Id="rId9" Type="http://schemas.openxmlformats.org/officeDocument/2006/relationships/hyperlink" Target="https://www.aicpa.org/press/pressreleases/2017/aicpa-announces-standing-ovation-honors-in-personal-financial-plan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1BE581-D202-4C4A-8BCC-3EB869CFA045}">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2.xml><?xml version="1.0" encoding="utf-8"?>
<ds:datastoreItem xmlns:ds="http://schemas.openxmlformats.org/officeDocument/2006/customXml" ds:itemID="{375D0DC0-71A4-4CB4-BC35-4B77A2146DC3}">
  <ds:schemaRefs>
    <ds:schemaRef ds:uri="http://schemas.microsoft.com/sharepoint/v3/contenttype/forms"/>
  </ds:schemaRefs>
</ds:datastoreItem>
</file>

<file path=customXml/itemProps3.xml><?xml version="1.0" encoding="utf-8"?>
<ds:datastoreItem xmlns:ds="http://schemas.openxmlformats.org/officeDocument/2006/customXml" ds:itemID="{6E37E326-1441-4992-97AF-AFDC808D7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86afe6-2814-4cb5-92c4-af72f2aea325"/>
    <ds:schemaRef ds:uri="c36299cd-0576-437f-98bf-37f8447cf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MKitces</dc:creator>
  <cp:lastModifiedBy>Paula Frey</cp:lastModifiedBy>
  <cp:revision>4</cp:revision>
  <dcterms:created xsi:type="dcterms:W3CDTF">2025-03-06T19:14:00Z</dcterms:created>
  <dcterms:modified xsi:type="dcterms:W3CDTF">2025-03-06T19:15:00Z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