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DC71" w14:textId="77777777" w:rsidR="007B268B" w:rsidRDefault="00477ECA" w:rsidP="007B268B">
      <w:pPr>
        <w:shd w:val="clear" w:color="auto" w:fill="FFFFFF"/>
        <w:jc w:val="center"/>
        <w:rPr>
          <w:rFonts w:ascii="Arial" w:eastAsia="Times New Roman" w:hAnsi="Arial" w:cs="Arial"/>
          <w:b/>
          <w:bCs/>
          <w:color w:val="222222"/>
          <w:sz w:val="28"/>
          <w:szCs w:val="28"/>
        </w:rPr>
      </w:pPr>
      <w:r w:rsidRPr="007B268B">
        <w:rPr>
          <w:rFonts w:ascii="Arial" w:eastAsia="Times New Roman" w:hAnsi="Arial" w:cs="Arial"/>
          <w:b/>
          <w:bCs/>
          <w:color w:val="222222"/>
          <w:sz w:val="28"/>
          <w:szCs w:val="28"/>
        </w:rPr>
        <w:t xml:space="preserve">How Earnings Growth Throughout </w:t>
      </w:r>
      <w:r w:rsidR="007B268B">
        <w:rPr>
          <w:rFonts w:ascii="Arial" w:eastAsia="Times New Roman" w:hAnsi="Arial" w:cs="Arial"/>
          <w:b/>
          <w:bCs/>
          <w:color w:val="222222"/>
          <w:sz w:val="28"/>
          <w:szCs w:val="28"/>
        </w:rPr>
        <w:t>t</w:t>
      </w:r>
      <w:r w:rsidRPr="007B268B">
        <w:rPr>
          <w:rFonts w:ascii="Arial" w:eastAsia="Times New Roman" w:hAnsi="Arial" w:cs="Arial"/>
          <w:b/>
          <w:bCs/>
          <w:color w:val="222222"/>
          <w:sz w:val="28"/>
          <w:szCs w:val="28"/>
        </w:rPr>
        <w:t xml:space="preserve">he Lifecycle Impacts </w:t>
      </w:r>
    </w:p>
    <w:p w14:paraId="3FE16DE7" w14:textId="228D8513" w:rsidR="00477ECA" w:rsidRDefault="004F6C30" w:rsidP="007B268B">
      <w:pPr>
        <w:shd w:val="clear" w:color="auto" w:fill="FFFFFF"/>
        <w:jc w:val="center"/>
        <w:rPr>
          <w:rFonts w:ascii="Arial" w:eastAsia="Times New Roman" w:hAnsi="Arial" w:cs="Arial"/>
          <w:b/>
          <w:bCs/>
          <w:color w:val="222222"/>
          <w:sz w:val="28"/>
          <w:szCs w:val="28"/>
        </w:rPr>
      </w:pPr>
      <w:r w:rsidRPr="007B268B">
        <w:rPr>
          <w:rFonts w:ascii="Arial" w:eastAsia="Times New Roman" w:hAnsi="Arial" w:cs="Arial"/>
          <w:b/>
          <w:bCs/>
          <w:color w:val="222222"/>
          <w:sz w:val="28"/>
          <w:szCs w:val="28"/>
        </w:rPr>
        <w:t xml:space="preserve">Retirement </w:t>
      </w:r>
      <w:r w:rsidR="00477ECA" w:rsidRPr="007B268B">
        <w:rPr>
          <w:rFonts w:ascii="Arial" w:eastAsia="Times New Roman" w:hAnsi="Arial" w:cs="Arial"/>
          <w:b/>
          <w:bCs/>
          <w:color w:val="222222"/>
          <w:sz w:val="28"/>
          <w:szCs w:val="28"/>
        </w:rPr>
        <w:t>Savings Strategies</w:t>
      </w:r>
    </w:p>
    <w:p w14:paraId="2A36F881" w14:textId="7E4D8FA8" w:rsidR="007B268B" w:rsidRPr="007B268B" w:rsidRDefault="007B268B" w:rsidP="007B268B">
      <w:pPr>
        <w:shd w:val="clear" w:color="auto" w:fill="FFFFFF"/>
        <w:jc w:val="center"/>
        <w:rPr>
          <w:rFonts w:eastAsia="Times New Roman"/>
          <w:color w:val="222222"/>
        </w:rPr>
      </w:pPr>
      <w:r w:rsidRPr="007B268B">
        <w:rPr>
          <w:rFonts w:eastAsia="Times New Roman"/>
          <w:color w:val="222222"/>
        </w:rPr>
        <w:t>A Presentation by Dr. Derek Tharp</w:t>
      </w:r>
    </w:p>
    <w:p w14:paraId="26988338" w14:textId="43EEBD35" w:rsidR="007B268B" w:rsidRPr="00477ECA" w:rsidRDefault="007B268B" w:rsidP="00477ECA">
      <w:pPr>
        <w:shd w:val="clear" w:color="auto" w:fill="FFFFFF"/>
        <w:rPr>
          <w:rFonts w:eastAsia="Times New Roman"/>
          <w:i/>
          <w:color w:val="222222"/>
        </w:rPr>
      </w:pPr>
      <w:r>
        <w:rPr>
          <w:noProof/>
        </w:rPr>
        <w:drawing>
          <wp:anchor distT="0" distB="0" distL="114300" distR="114300" simplePos="0" relativeHeight="251659264" behindDoc="0" locked="0" layoutInCell="1" allowOverlap="1" wp14:anchorId="38DD6722" wp14:editId="20CA44C4">
            <wp:simplePos x="0" y="0"/>
            <wp:positionH relativeFrom="column">
              <wp:posOffset>0</wp:posOffset>
            </wp:positionH>
            <wp:positionV relativeFrom="paragraph">
              <wp:posOffset>212725</wp:posOffset>
            </wp:positionV>
            <wp:extent cx="1687286" cy="2362200"/>
            <wp:effectExtent l="38100" t="38100" r="46355" b="38100"/>
            <wp:wrapThrough wrapText="bothSides">
              <wp:wrapPolygon edited="0">
                <wp:start x="-488" y="-348"/>
                <wp:lineTo x="-488" y="21774"/>
                <wp:lineTo x="21950" y="21774"/>
                <wp:lineTo x="21950" y="-348"/>
                <wp:lineTo x="-488" y="-34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286" cy="2362200"/>
                    </a:xfrm>
                    <a:prstGeom prst="rect">
                      <a:avLst/>
                    </a:prstGeom>
                    <a:noFill/>
                    <a:ln w="25400">
                      <a:solidFill>
                        <a:srgbClr val="003399"/>
                      </a:solidFill>
                    </a:ln>
                    <a:effectLst>
                      <a:softEdge rad="0"/>
                    </a:effectLst>
                  </pic:spPr>
                </pic:pic>
              </a:graphicData>
            </a:graphic>
            <wp14:sizeRelH relativeFrom="page">
              <wp14:pctWidth>0</wp14:pctWidth>
            </wp14:sizeRelH>
            <wp14:sizeRelV relativeFrom="page">
              <wp14:pctHeight>0</wp14:pctHeight>
            </wp14:sizeRelV>
          </wp:anchor>
        </w:drawing>
      </w:r>
    </w:p>
    <w:p w14:paraId="4C171F98" w14:textId="77777777" w:rsidR="0009323C" w:rsidRPr="008D60D5" w:rsidRDefault="0009323C" w:rsidP="0009323C">
      <w:pPr>
        <w:shd w:val="clear" w:color="auto" w:fill="FFFFFF"/>
        <w:rPr>
          <w:color w:val="222222"/>
          <w:shd w:val="clear" w:color="auto" w:fill="FFFFFF"/>
        </w:rPr>
      </w:pPr>
      <w:r w:rsidRPr="008D60D5">
        <w:rPr>
          <w:color w:val="222222"/>
          <w:shd w:val="clear" w:color="auto" w:fill="FFFFFF"/>
        </w:rPr>
        <w:t xml:space="preserve">Derek T. Tharp is a research associate at Kitces.com and the founder of Conscious Capital, a financial planning firm located in Cedar Rapids, Iowa. Derek earned his Ph.D. in personal financial planning at Kansas State University. While studying at Kansas State, Derek was awarded the Cary M. Maguire Fellowship in Applied Ethics with The American College of Financial Services and a Visiting Dissertation Fellowship with the </w:t>
      </w:r>
      <w:proofErr w:type="spellStart"/>
      <w:r w:rsidRPr="008D60D5">
        <w:rPr>
          <w:color w:val="222222"/>
          <w:shd w:val="clear" w:color="auto" w:fill="FFFFFF"/>
        </w:rPr>
        <w:t>Mercatus</w:t>
      </w:r>
      <w:proofErr w:type="spellEnd"/>
      <w:r w:rsidRPr="008D60D5">
        <w:rPr>
          <w:color w:val="222222"/>
          <w:shd w:val="clear" w:color="auto" w:fill="FFFFFF"/>
        </w:rPr>
        <w:t xml:space="preserve"> Center at George Mason University. In addition to writing at Kitces.com, Derek regularly contributes to the wealth management section of the Wall Street Journal’s Experts Blog. His research has been published in academic journals such as the </w:t>
      </w:r>
      <w:r w:rsidRPr="008D60D5">
        <w:rPr>
          <w:i/>
          <w:iCs/>
          <w:color w:val="222222"/>
          <w:shd w:val="clear" w:color="auto" w:fill="FFFFFF"/>
        </w:rPr>
        <w:t>Journal of Retirement</w:t>
      </w:r>
      <w:r w:rsidRPr="008D60D5">
        <w:rPr>
          <w:color w:val="222222"/>
          <w:shd w:val="clear" w:color="auto" w:fill="FFFFFF"/>
        </w:rPr>
        <w:t> and </w:t>
      </w:r>
      <w:r w:rsidRPr="008D60D5">
        <w:rPr>
          <w:i/>
          <w:iCs/>
          <w:color w:val="222222"/>
          <w:shd w:val="clear" w:color="auto" w:fill="FFFFFF"/>
        </w:rPr>
        <w:t>Journal of Personal Finance</w:t>
      </w:r>
      <w:r w:rsidRPr="008D60D5">
        <w:rPr>
          <w:color w:val="222222"/>
          <w:shd w:val="clear" w:color="auto" w:fill="FFFFFF"/>
        </w:rPr>
        <w:t>, and he coauthored a chapter in the textbook </w:t>
      </w:r>
      <w:r w:rsidRPr="008D60D5">
        <w:rPr>
          <w:i/>
          <w:iCs/>
          <w:color w:val="222222"/>
          <w:shd w:val="clear" w:color="auto" w:fill="FFFFFF"/>
        </w:rPr>
        <w:t>Financial Therapy: Theory, Research, and Practice</w:t>
      </w:r>
      <w:r w:rsidRPr="008D60D5">
        <w:rPr>
          <w:color w:val="222222"/>
          <w:shd w:val="clear" w:color="auto" w:fill="FFFFFF"/>
        </w:rPr>
        <w:t>.</w:t>
      </w:r>
    </w:p>
    <w:p w14:paraId="75328B21" w14:textId="77777777" w:rsidR="00477ECA" w:rsidRPr="00477ECA" w:rsidRDefault="00477ECA" w:rsidP="00477ECA">
      <w:pPr>
        <w:shd w:val="clear" w:color="auto" w:fill="FFFFFF"/>
        <w:rPr>
          <w:rFonts w:eastAsia="Times New Roman"/>
          <w:color w:val="222222"/>
        </w:rPr>
      </w:pPr>
    </w:p>
    <w:p w14:paraId="224C73B9" w14:textId="6C0FA45F" w:rsidR="00477ECA" w:rsidRPr="0009323C" w:rsidRDefault="00477ECA" w:rsidP="00477ECA">
      <w:pPr>
        <w:shd w:val="clear" w:color="auto" w:fill="FFFFFF"/>
        <w:rPr>
          <w:rFonts w:eastAsia="Times New Roman"/>
          <w:i/>
          <w:color w:val="222222"/>
        </w:rPr>
      </w:pPr>
      <w:r w:rsidRPr="007B268B">
        <w:rPr>
          <w:rFonts w:ascii="Arial" w:eastAsia="Times New Roman" w:hAnsi="Arial" w:cs="Arial"/>
          <w:b/>
          <w:bCs/>
          <w:iCs/>
          <w:color w:val="222222"/>
        </w:rPr>
        <w:t>Session Description</w:t>
      </w:r>
    </w:p>
    <w:p w14:paraId="3426C516" w14:textId="44E47F4D" w:rsidR="00000000" w:rsidRDefault="0009323C">
      <w:r>
        <w:t>This presentation examines how earnings growth throughout the lifecycle impacts retirement savings strategies. Specifically, traditional earnings growth assumptions utilized in safe savings rate analyses are compared to actual Social Security data on earnings growth across the lifecycle. This comparison reveals that typical assumptions of constant real earnings often understates income growth in earlier years, while overstating income growth in later years. As a result, assumptions regarding both saving during one’s working years and spending during retirement may not accurately reflect the outcomes that are most likely. Accounting for more realistic earnings curves results in lower “safe” savings rates than research has typically indicated—particularly among lower income Americans. Typical assumptions also fail to account for the potential to capture greater earnings growth as one’s savings increase, as well as the decline in retirement savings need that corresponds with declining earl earnings experienced in late, pre-retirement years.</w:t>
      </w:r>
    </w:p>
    <w:p w14:paraId="0CF483E5" w14:textId="77777777" w:rsidR="0009323C" w:rsidRDefault="0009323C"/>
    <w:p w14:paraId="6BE7CCF2" w14:textId="77777777" w:rsidR="007B268B" w:rsidRDefault="007B268B" w:rsidP="007B268B">
      <w:pPr>
        <w:spacing w:line="360" w:lineRule="auto"/>
        <w:rPr>
          <w:rFonts w:ascii="Arial" w:hAnsi="Arial" w:cs="Arial"/>
          <w:b/>
          <w:bCs/>
          <w:iCs/>
        </w:rPr>
        <w:sectPr w:rsidR="007B268B">
          <w:headerReference w:type="default" r:id="rId11"/>
          <w:pgSz w:w="12240" w:h="15840"/>
          <w:pgMar w:top="1440" w:right="1440" w:bottom="1440" w:left="1440" w:header="720" w:footer="720" w:gutter="0"/>
          <w:cols w:space="720"/>
          <w:docGrid w:linePitch="360"/>
        </w:sectPr>
      </w:pPr>
    </w:p>
    <w:p w14:paraId="043EEAC8" w14:textId="7CC1AC7B" w:rsidR="00E1792E" w:rsidRPr="007B268B" w:rsidRDefault="00477ECA" w:rsidP="00E1792E">
      <w:pPr>
        <w:spacing w:line="276" w:lineRule="auto"/>
        <w:rPr>
          <w:rFonts w:ascii="Arial" w:hAnsi="Arial" w:cs="Arial"/>
          <w:b/>
          <w:bCs/>
          <w:iCs/>
        </w:rPr>
      </w:pPr>
      <w:r w:rsidRPr="007B268B">
        <w:rPr>
          <w:rFonts w:ascii="Arial" w:hAnsi="Arial" w:cs="Arial"/>
          <w:b/>
          <w:bCs/>
          <w:iCs/>
        </w:rPr>
        <w:t>Learning Objective</w:t>
      </w:r>
      <w:r w:rsidR="007B268B" w:rsidRPr="007B268B">
        <w:rPr>
          <w:rFonts w:ascii="Arial" w:hAnsi="Arial" w:cs="Arial"/>
          <w:b/>
          <w:bCs/>
          <w:iCs/>
        </w:rPr>
        <w:t>s</w:t>
      </w:r>
    </w:p>
    <w:p w14:paraId="62C645F9" w14:textId="77777777" w:rsidR="00E1792E" w:rsidRDefault="00E1792E" w:rsidP="007B268B">
      <w:pPr>
        <w:pStyle w:val="ListParagraph"/>
        <w:numPr>
          <w:ilvl w:val="0"/>
          <w:numId w:val="2"/>
        </w:numPr>
        <w:spacing w:line="276" w:lineRule="auto"/>
        <w:sectPr w:rsidR="00E1792E" w:rsidSect="00E1792E">
          <w:type w:val="continuous"/>
          <w:pgSz w:w="12240" w:h="15840"/>
          <w:pgMar w:top="1440" w:right="1440" w:bottom="-432" w:left="1440" w:header="720" w:footer="720" w:gutter="0"/>
          <w:cols w:space="720"/>
          <w:docGrid w:linePitch="360"/>
        </w:sectPr>
      </w:pPr>
    </w:p>
    <w:p w14:paraId="57450C26" w14:textId="61E88875" w:rsidR="007B268B" w:rsidRDefault="0009323C" w:rsidP="00E1792E">
      <w:pPr>
        <w:pStyle w:val="ListParagraph"/>
        <w:numPr>
          <w:ilvl w:val="0"/>
          <w:numId w:val="2"/>
        </w:numPr>
      </w:pPr>
      <w:r>
        <w:t>Identify the traditional financial planning earning</w:t>
      </w:r>
      <w:r w:rsidR="00E1792E">
        <w:t xml:space="preserve"> </w:t>
      </w:r>
      <w:r>
        <w:t>assumptions.</w:t>
      </w:r>
    </w:p>
    <w:p w14:paraId="1851A34E" w14:textId="77777777" w:rsidR="007B268B" w:rsidRDefault="0009323C" w:rsidP="00E1792E">
      <w:pPr>
        <w:pStyle w:val="ListParagraph"/>
        <w:numPr>
          <w:ilvl w:val="0"/>
          <w:numId w:val="2"/>
        </w:numPr>
      </w:pPr>
      <w:r>
        <w:t>Identify the traditional assumptions underlying safe savings rate (SSR) research.</w:t>
      </w:r>
    </w:p>
    <w:p w14:paraId="3B858CD7" w14:textId="77777777" w:rsidR="007B268B" w:rsidRDefault="0009323C" w:rsidP="00E1792E">
      <w:pPr>
        <w:pStyle w:val="ListParagraph"/>
        <w:numPr>
          <w:ilvl w:val="0"/>
          <w:numId w:val="2"/>
        </w:numPr>
      </w:pPr>
      <w:r>
        <w:t>Identify how historical earnings data deviates from traditional assumptions.</w:t>
      </w:r>
    </w:p>
    <w:p w14:paraId="093569F8" w14:textId="77777777" w:rsidR="007B268B" w:rsidRDefault="0009323C" w:rsidP="00E1792E">
      <w:pPr>
        <w:pStyle w:val="ListParagraph"/>
        <w:numPr>
          <w:ilvl w:val="0"/>
          <w:numId w:val="2"/>
        </w:numPr>
      </w:pPr>
      <w:r>
        <w:t xml:space="preserve">Identify the implications that result from adopting more realistic assumptions. </w:t>
      </w:r>
    </w:p>
    <w:p w14:paraId="55819981" w14:textId="0A02E079" w:rsidR="00477ECA" w:rsidRPr="007864A1" w:rsidRDefault="0009323C" w:rsidP="00E1792E">
      <w:pPr>
        <w:pStyle w:val="ListParagraph"/>
        <w:numPr>
          <w:ilvl w:val="0"/>
          <w:numId w:val="2"/>
        </w:numPr>
      </w:pPr>
      <w:r>
        <w:t>Identify how the inclusion of Social Security influences historical SSRs by income level.</w:t>
      </w:r>
    </w:p>
    <w:p w14:paraId="32934961" w14:textId="77777777" w:rsidR="00E1792E" w:rsidRPr="00E1792E" w:rsidRDefault="00477ECA" w:rsidP="00E1792E">
      <w:pPr>
        <w:jc w:val="center"/>
        <w:rPr>
          <w:rFonts w:ascii="Arial" w:hAnsi="Arial" w:cs="Arial"/>
          <w:b/>
          <w:bCs/>
          <w:iCs/>
        </w:rPr>
      </w:pPr>
      <w:r w:rsidRPr="00E1792E">
        <w:rPr>
          <w:rFonts w:ascii="Arial" w:hAnsi="Arial" w:cs="Arial"/>
          <w:b/>
          <w:bCs/>
          <w:iCs/>
        </w:rPr>
        <w:t>Level of Complexity</w:t>
      </w:r>
    </w:p>
    <w:p w14:paraId="56E1E85A" w14:textId="6F051F6B" w:rsidR="00477ECA" w:rsidRPr="00E1792E" w:rsidRDefault="00477ECA" w:rsidP="00E1792E">
      <w:pPr>
        <w:jc w:val="center"/>
        <w:rPr>
          <w:i/>
        </w:rPr>
      </w:pPr>
      <w:r w:rsidRPr="007864A1">
        <w:t>CFP / IMCA: Intermediate</w:t>
      </w:r>
    </w:p>
    <w:p w14:paraId="7825B103" w14:textId="77777777" w:rsidR="00477ECA" w:rsidRPr="007864A1" w:rsidRDefault="00477ECA" w:rsidP="00E1792E">
      <w:pPr>
        <w:jc w:val="center"/>
      </w:pPr>
    </w:p>
    <w:p w14:paraId="5B669920" w14:textId="77777777" w:rsidR="00E1792E" w:rsidRDefault="00477ECA" w:rsidP="00E1792E">
      <w:pPr>
        <w:jc w:val="center"/>
        <w:rPr>
          <w:rFonts w:ascii="Arial" w:hAnsi="Arial" w:cs="Arial"/>
          <w:b/>
          <w:bCs/>
          <w:iCs/>
        </w:rPr>
      </w:pPr>
      <w:r w:rsidRPr="00E1792E">
        <w:rPr>
          <w:rFonts w:ascii="Arial" w:hAnsi="Arial" w:cs="Arial"/>
          <w:b/>
          <w:bCs/>
          <w:iCs/>
        </w:rPr>
        <w:t>Topic Areas</w:t>
      </w:r>
    </w:p>
    <w:p w14:paraId="2301D512" w14:textId="39159291" w:rsidR="00477ECA" w:rsidRPr="00E1792E" w:rsidRDefault="00477ECA" w:rsidP="00E1792E">
      <w:pPr>
        <w:jc w:val="center"/>
        <w:rPr>
          <w:rFonts w:ascii="Arial" w:hAnsi="Arial" w:cs="Arial"/>
          <w:b/>
          <w:bCs/>
          <w:iCs/>
        </w:rPr>
      </w:pPr>
      <w:r>
        <w:t>CFP: Retirement</w:t>
      </w:r>
      <w:r w:rsidR="00E1792E">
        <w:rPr>
          <w:rFonts w:ascii="Arial" w:hAnsi="Arial" w:cs="Arial"/>
          <w:b/>
          <w:bCs/>
          <w:iCs/>
        </w:rPr>
        <w:t xml:space="preserve"> </w:t>
      </w:r>
      <w:r>
        <w:t>Savings and Income Planning</w:t>
      </w:r>
    </w:p>
    <w:p w14:paraId="1704EDE7" w14:textId="77777777" w:rsidR="00E1792E" w:rsidRDefault="00E1792E" w:rsidP="00E1792E">
      <w:pPr>
        <w:ind w:left="360"/>
        <w:jc w:val="center"/>
      </w:pPr>
    </w:p>
    <w:p w14:paraId="2A0790C1" w14:textId="77777777" w:rsidR="00E1792E" w:rsidRPr="00E1792E" w:rsidRDefault="00477ECA" w:rsidP="00E1792E">
      <w:pPr>
        <w:jc w:val="center"/>
        <w:rPr>
          <w:rFonts w:ascii="Arial" w:hAnsi="Arial" w:cs="Arial"/>
          <w:b/>
          <w:bCs/>
          <w:iCs/>
        </w:rPr>
      </w:pPr>
      <w:r w:rsidRPr="00E1792E">
        <w:rPr>
          <w:rFonts w:ascii="Arial" w:hAnsi="Arial" w:cs="Arial"/>
          <w:b/>
          <w:bCs/>
          <w:iCs/>
        </w:rPr>
        <w:t>Hour(s) of CE</w:t>
      </w:r>
    </w:p>
    <w:p w14:paraId="141BF50B" w14:textId="34CCA5F6" w:rsidR="00477ECA" w:rsidRPr="00E1792E" w:rsidRDefault="00477ECA" w:rsidP="00E1792E">
      <w:pPr>
        <w:jc w:val="center"/>
        <w:rPr>
          <w:i/>
        </w:rPr>
      </w:pPr>
      <w:r>
        <w:t>CFP: 1.0</w:t>
      </w:r>
    </w:p>
    <w:p w14:paraId="55C2093C" w14:textId="77777777" w:rsidR="007B268B" w:rsidRDefault="007B268B" w:rsidP="00477ECA">
      <w:pPr>
        <w:sectPr w:rsidR="007B268B" w:rsidSect="00E1792E">
          <w:type w:val="continuous"/>
          <w:pgSz w:w="12240" w:h="15840"/>
          <w:pgMar w:top="1440" w:right="1440" w:bottom="0" w:left="1440" w:header="720" w:footer="720" w:gutter="0"/>
          <w:cols w:num="2" w:space="144" w:equalWidth="0">
            <w:col w:w="6624" w:space="144"/>
            <w:col w:w="2592"/>
          </w:cols>
          <w:docGrid w:linePitch="360"/>
        </w:sectPr>
      </w:pPr>
    </w:p>
    <w:p w14:paraId="4505D49C" w14:textId="77777777" w:rsidR="00E1792E" w:rsidRDefault="00E1792E" w:rsidP="00477ECA">
      <w:pPr>
        <w:sectPr w:rsidR="00E1792E" w:rsidSect="007B268B">
          <w:type w:val="continuous"/>
          <w:pgSz w:w="12240" w:h="15840"/>
          <w:pgMar w:top="1440" w:right="1440" w:bottom="1440" w:left="1440" w:header="720" w:footer="720" w:gutter="0"/>
          <w:cols w:space="720"/>
          <w:docGrid w:linePitch="360"/>
        </w:sectPr>
      </w:pPr>
    </w:p>
    <w:p w14:paraId="481AD43E" w14:textId="76CA2BF9" w:rsidR="00477ECA" w:rsidRDefault="00477ECA" w:rsidP="00477ECA"/>
    <w:p w14:paraId="73BFA97E" w14:textId="77777777" w:rsidR="009B4842" w:rsidRPr="00266A3F" w:rsidRDefault="009B4842" w:rsidP="009B4842">
      <w:pPr>
        <w:spacing w:line="276" w:lineRule="auto"/>
        <w:rPr>
          <w:rFonts w:ascii="Arial" w:hAnsi="Arial" w:cs="Arial"/>
          <w:b/>
          <w:bCs/>
          <w:iCs/>
        </w:rPr>
      </w:pPr>
      <w:r w:rsidRPr="00266A3F">
        <w:rPr>
          <w:rFonts w:ascii="Arial" w:hAnsi="Arial" w:cs="Arial"/>
          <w:b/>
          <w:bCs/>
          <w:iCs/>
        </w:rPr>
        <w:t>Outline</w:t>
      </w:r>
    </w:p>
    <w:tbl>
      <w:tblPr>
        <w:tblStyle w:val="PlainTable1"/>
        <w:tblW w:w="858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745"/>
        <w:gridCol w:w="1837"/>
      </w:tblGrid>
      <w:tr w:rsidR="009B4842" w14:paraId="14F159AF" w14:textId="77777777" w:rsidTr="0091708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745" w:type="dxa"/>
          </w:tcPr>
          <w:p w14:paraId="1AD63359" w14:textId="750D7F7C" w:rsidR="009B4842" w:rsidRPr="003B4B60" w:rsidRDefault="009B4842" w:rsidP="00917081">
            <w:pPr>
              <w:spacing w:line="360" w:lineRule="auto"/>
              <w:rPr>
                <w:b w:val="0"/>
                <w:bCs w:val="0"/>
                <w:iCs/>
              </w:rPr>
            </w:pPr>
            <w:r w:rsidRPr="009B4842">
              <w:rPr>
                <w:b w:val="0"/>
                <w:bCs w:val="0"/>
              </w:rPr>
              <w:t>Traditional earnings growth assumptions</w:t>
            </w:r>
          </w:p>
        </w:tc>
        <w:tc>
          <w:tcPr>
            <w:tcW w:w="1837" w:type="dxa"/>
          </w:tcPr>
          <w:p w14:paraId="267C9874" w14:textId="40C7D1F0" w:rsidR="009B4842" w:rsidRDefault="009B4842" w:rsidP="00917081">
            <w:pPr>
              <w:spacing w:line="360" w:lineRule="auto"/>
              <w:jc w:val="right"/>
              <w:cnfStyle w:val="000000100000" w:firstRow="0" w:lastRow="0" w:firstColumn="0" w:lastColumn="0" w:oddVBand="0" w:evenVBand="0" w:oddHBand="1" w:evenHBand="0" w:firstRowFirstColumn="0" w:firstRowLastColumn="0" w:lastRowFirstColumn="0" w:lastRowLastColumn="0"/>
              <w:rPr>
                <w:b/>
                <w:bCs/>
                <w:iCs/>
              </w:rPr>
            </w:pPr>
            <w:r>
              <w:t>11 min</w:t>
            </w:r>
          </w:p>
        </w:tc>
      </w:tr>
      <w:tr w:rsidR="009B4842" w14:paraId="37BFA055" w14:textId="77777777" w:rsidTr="00917081">
        <w:trPr>
          <w:trHeight w:val="292"/>
        </w:trPr>
        <w:tc>
          <w:tcPr>
            <w:cnfStyle w:val="001000000000" w:firstRow="0" w:lastRow="0" w:firstColumn="1" w:lastColumn="0" w:oddVBand="0" w:evenVBand="0" w:oddHBand="0" w:evenHBand="0" w:firstRowFirstColumn="0" w:firstRowLastColumn="0" w:lastRowFirstColumn="0" w:lastRowLastColumn="0"/>
            <w:tcW w:w="6745" w:type="dxa"/>
          </w:tcPr>
          <w:p w14:paraId="0A0A4341" w14:textId="020DC3CB" w:rsidR="009B4842" w:rsidRPr="003B4B60" w:rsidRDefault="009B4842" w:rsidP="00917081">
            <w:pPr>
              <w:spacing w:line="360" w:lineRule="auto"/>
              <w:rPr>
                <w:b w:val="0"/>
                <w:bCs w:val="0"/>
                <w:iCs/>
              </w:rPr>
            </w:pPr>
            <w:r w:rsidRPr="009B4842">
              <w:rPr>
                <w:b w:val="0"/>
                <w:bCs w:val="0"/>
              </w:rPr>
              <w:t>Historical earnings growth across the lifecycle</w:t>
            </w:r>
            <w:r w:rsidRPr="003B4B60">
              <w:rPr>
                <w:b w:val="0"/>
                <w:bCs w:val="0"/>
              </w:rPr>
              <w:tab/>
            </w:r>
          </w:p>
        </w:tc>
        <w:tc>
          <w:tcPr>
            <w:tcW w:w="1837" w:type="dxa"/>
          </w:tcPr>
          <w:p w14:paraId="46C2BC53" w14:textId="018AF08C" w:rsidR="009B4842" w:rsidRPr="003B4B60" w:rsidRDefault="009B4842" w:rsidP="00917081">
            <w:pPr>
              <w:spacing w:line="360" w:lineRule="auto"/>
              <w:jc w:val="right"/>
              <w:cnfStyle w:val="000000000000" w:firstRow="0" w:lastRow="0" w:firstColumn="0" w:lastColumn="0" w:oddVBand="0" w:evenVBand="0" w:oddHBand="0" w:evenHBand="0" w:firstRowFirstColumn="0" w:firstRowLastColumn="0" w:lastRowFirstColumn="0" w:lastRowLastColumn="0"/>
            </w:pPr>
            <w:r>
              <w:t>11 min</w:t>
            </w:r>
          </w:p>
        </w:tc>
      </w:tr>
      <w:tr w:rsidR="009B4842" w14:paraId="6996D58A" w14:textId="77777777" w:rsidTr="0091708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745" w:type="dxa"/>
          </w:tcPr>
          <w:p w14:paraId="4D76B119" w14:textId="1870A7BA" w:rsidR="009B4842" w:rsidRPr="003B4B60" w:rsidRDefault="009B4842" w:rsidP="00917081">
            <w:pPr>
              <w:spacing w:line="360" w:lineRule="auto"/>
              <w:rPr>
                <w:b w:val="0"/>
                <w:bCs w:val="0"/>
                <w:iCs/>
              </w:rPr>
            </w:pPr>
            <w:r w:rsidRPr="009B4842">
              <w:rPr>
                <w:b w:val="0"/>
                <w:bCs w:val="0"/>
                <w:iCs/>
              </w:rPr>
              <w:t>The impact of assumptions on Safe Savings Rates (SSRs)</w:t>
            </w:r>
          </w:p>
        </w:tc>
        <w:tc>
          <w:tcPr>
            <w:tcW w:w="1837" w:type="dxa"/>
          </w:tcPr>
          <w:p w14:paraId="5D74EC37" w14:textId="777834B2" w:rsidR="009B4842" w:rsidRDefault="009B4842" w:rsidP="00917081">
            <w:pPr>
              <w:spacing w:line="360" w:lineRule="auto"/>
              <w:jc w:val="right"/>
              <w:cnfStyle w:val="000000100000" w:firstRow="0" w:lastRow="0" w:firstColumn="0" w:lastColumn="0" w:oddVBand="0" w:evenVBand="0" w:oddHBand="1" w:evenHBand="0" w:firstRowFirstColumn="0" w:firstRowLastColumn="0" w:lastRowFirstColumn="0" w:lastRowLastColumn="0"/>
              <w:rPr>
                <w:b/>
                <w:bCs/>
                <w:iCs/>
              </w:rPr>
            </w:pPr>
            <w:r w:rsidRPr="003B4B60">
              <w:rPr>
                <w:iCs/>
              </w:rPr>
              <w:t>1</w:t>
            </w:r>
            <w:r>
              <w:rPr>
                <w:iCs/>
              </w:rPr>
              <w:t>1</w:t>
            </w:r>
            <w:r w:rsidRPr="003B4B60">
              <w:rPr>
                <w:iCs/>
              </w:rPr>
              <w:t xml:space="preserve"> min</w:t>
            </w:r>
          </w:p>
        </w:tc>
      </w:tr>
      <w:tr w:rsidR="009B4842" w14:paraId="758CA35D" w14:textId="77777777" w:rsidTr="00917081">
        <w:trPr>
          <w:trHeight w:val="292"/>
        </w:trPr>
        <w:tc>
          <w:tcPr>
            <w:cnfStyle w:val="001000000000" w:firstRow="0" w:lastRow="0" w:firstColumn="1" w:lastColumn="0" w:oddVBand="0" w:evenVBand="0" w:oddHBand="0" w:evenHBand="0" w:firstRowFirstColumn="0" w:firstRowLastColumn="0" w:lastRowFirstColumn="0" w:lastRowLastColumn="0"/>
            <w:tcW w:w="6745" w:type="dxa"/>
          </w:tcPr>
          <w:p w14:paraId="5A8B0DFC" w14:textId="3F6C0611" w:rsidR="009B4842" w:rsidRPr="003B4B60" w:rsidRDefault="009B4842" w:rsidP="00917081">
            <w:pPr>
              <w:spacing w:line="360" w:lineRule="auto"/>
              <w:rPr>
                <w:b w:val="0"/>
                <w:bCs w:val="0"/>
                <w:iCs/>
              </w:rPr>
            </w:pPr>
            <w:r w:rsidRPr="009B4842">
              <w:rPr>
                <w:b w:val="0"/>
                <w:bCs w:val="0"/>
                <w:iCs/>
              </w:rPr>
              <w:t>The impact of Social Security on SSRs</w:t>
            </w:r>
          </w:p>
        </w:tc>
        <w:tc>
          <w:tcPr>
            <w:tcW w:w="1837" w:type="dxa"/>
          </w:tcPr>
          <w:p w14:paraId="23A46A3E" w14:textId="3CA10ACD" w:rsidR="009B4842" w:rsidRPr="00266A3F" w:rsidRDefault="009B4842" w:rsidP="00917081">
            <w:pPr>
              <w:spacing w:line="360" w:lineRule="auto"/>
              <w:jc w:val="right"/>
              <w:cnfStyle w:val="000000000000" w:firstRow="0" w:lastRow="0" w:firstColumn="0" w:lastColumn="0" w:oddVBand="0" w:evenVBand="0" w:oddHBand="0" w:evenHBand="0" w:firstRowFirstColumn="0" w:firstRowLastColumn="0" w:lastRowFirstColumn="0" w:lastRowLastColumn="0"/>
              <w:rPr>
                <w:iCs/>
              </w:rPr>
            </w:pPr>
            <w:r>
              <w:rPr>
                <w:iCs/>
              </w:rPr>
              <w:t>7</w:t>
            </w:r>
            <w:r w:rsidRPr="00266A3F">
              <w:rPr>
                <w:iCs/>
              </w:rPr>
              <w:t xml:space="preserve"> min</w:t>
            </w:r>
          </w:p>
        </w:tc>
      </w:tr>
      <w:tr w:rsidR="009B4842" w14:paraId="7AA55B0B" w14:textId="77777777" w:rsidTr="00917081">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745" w:type="dxa"/>
          </w:tcPr>
          <w:p w14:paraId="66493449" w14:textId="77777777" w:rsidR="009B4842" w:rsidRDefault="009B4842" w:rsidP="00917081">
            <w:pPr>
              <w:spacing w:line="360" w:lineRule="auto"/>
              <w:rPr>
                <w:iCs/>
              </w:rPr>
            </w:pPr>
            <w:r w:rsidRPr="003B4B60">
              <w:rPr>
                <w:b w:val="0"/>
                <w:bCs w:val="0"/>
                <w:iCs/>
              </w:rPr>
              <w:t>Planning implications</w:t>
            </w:r>
          </w:p>
          <w:p w14:paraId="34CBF0DE" w14:textId="77777777" w:rsidR="009B4842" w:rsidRPr="009B4842" w:rsidRDefault="009B4842" w:rsidP="009B4842">
            <w:pPr>
              <w:pStyle w:val="ListParagraph"/>
              <w:numPr>
                <w:ilvl w:val="0"/>
                <w:numId w:val="3"/>
              </w:numPr>
              <w:spacing w:line="360" w:lineRule="auto"/>
              <w:rPr>
                <w:b w:val="0"/>
                <w:bCs w:val="0"/>
                <w:iCs/>
              </w:rPr>
            </w:pPr>
            <w:r w:rsidRPr="009B4842">
              <w:rPr>
                <w:b w:val="0"/>
                <w:bCs w:val="0"/>
                <w:iCs/>
              </w:rPr>
              <w:t>The huge potential to capture earnings growth as savings</w:t>
            </w:r>
          </w:p>
          <w:p w14:paraId="722EE936" w14:textId="77777777" w:rsidR="009B4842" w:rsidRPr="009B4842" w:rsidRDefault="009B4842" w:rsidP="009B4842">
            <w:pPr>
              <w:pStyle w:val="ListParagraph"/>
              <w:numPr>
                <w:ilvl w:val="0"/>
                <w:numId w:val="3"/>
              </w:numPr>
              <w:spacing w:line="360" w:lineRule="auto"/>
              <w:rPr>
                <w:b w:val="0"/>
                <w:bCs w:val="0"/>
                <w:iCs/>
              </w:rPr>
            </w:pPr>
            <w:r w:rsidRPr="009B4842">
              <w:rPr>
                <w:b w:val="0"/>
                <w:bCs w:val="0"/>
                <w:iCs/>
              </w:rPr>
              <w:t>Decline in real earnings and retirement savings need</w:t>
            </w:r>
          </w:p>
          <w:p w14:paraId="2F6414A2" w14:textId="1DB7C8E3" w:rsidR="009B4842" w:rsidRPr="009B4842" w:rsidRDefault="009B4842" w:rsidP="009B4842">
            <w:pPr>
              <w:pStyle w:val="ListParagraph"/>
              <w:numPr>
                <w:ilvl w:val="0"/>
                <w:numId w:val="3"/>
              </w:numPr>
              <w:spacing w:line="360" w:lineRule="auto"/>
              <w:rPr>
                <w:b w:val="0"/>
                <w:bCs w:val="0"/>
                <w:iCs/>
              </w:rPr>
            </w:pPr>
            <w:r w:rsidRPr="009B4842">
              <w:rPr>
                <w:b w:val="0"/>
                <w:bCs w:val="0"/>
                <w:iCs/>
              </w:rPr>
              <w:t>Improvements due to adopting variable savings rates</w:t>
            </w:r>
          </w:p>
        </w:tc>
        <w:tc>
          <w:tcPr>
            <w:tcW w:w="1837" w:type="dxa"/>
          </w:tcPr>
          <w:p w14:paraId="082C75CD" w14:textId="77777777" w:rsidR="009B4842" w:rsidRDefault="009B4842" w:rsidP="00917081">
            <w:pPr>
              <w:spacing w:line="360" w:lineRule="auto"/>
              <w:jc w:val="right"/>
              <w:cnfStyle w:val="000000100000" w:firstRow="0" w:lastRow="0" w:firstColumn="0" w:lastColumn="0" w:oddVBand="0" w:evenVBand="0" w:oddHBand="1" w:evenHBand="0" w:firstRowFirstColumn="0" w:firstRowLastColumn="0" w:lastRowFirstColumn="0" w:lastRowLastColumn="0"/>
              <w:rPr>
                <w:b/>
                <w:bCs/>
                <w:iCs/>
              </w:rPr>
            </w:pPr>
          </w:p>
          <w:p w14:paraId="1425FD7B" w14:textId="77777777" w:rsidR="009B4842" w:rsidRPr="009B4842" w:rsidRDefault="009B4842" w:rsidP="00917081">
            <w:pPr>
              <w:spacing w:line="360" w:lineRule="auto"/>
              <w:jc w:val="right"/>
              <w:cnfStyle w:val="000000100000" w:firstRow="0" w:lastRow="0" w:firstColumn="0" w:lastColumn="0" w:oddVBand="0" w:evenVBand="0" w:oddHBand="1" w:evenHBand="0" w:firstRowFirstColumn="0" w:firstRowLastColumn="0" w:lastRowFirstColumn="0" w:lastRowLastColumn="0"/>
              <w:rPr>
                <w:iCs/>
              </w:rPr>
            </w:pPr>
            <w:r w:rsidRPr="009B4842">
              <w:rPr>
                <w:iCs/>
              </w:rPr>
              <w:t>2 min</w:t>
            </w:r>
          </w:p>
          <w:p w14:paraId="56300BFA" w14:textId="77777777" w:rsidR="009B4842" w:rsidRPr="009B4842" w:rsidRDefault="009B4842" w:rsidP="00917081">
            <w:pPr>
              <w:spacing w:line="360" w:lineRule="auto"/>
              <w:jc w:val="right"/>
              <w:cnfStyle w:val="000000100000" w:firstRow="0" w:lastRow="0" w:firstColumn="0" w:lastColumn="0" w:oddVBand="0" w:evenVBand="0" w:oddHBand="1" w:evenHBand="0" w:firstRowFirstColumn="0" w:firstRowLastColumn="0" w:lastRowFirstColumn="0" w:lastRowLastColumn="0"/>
              <w:rPr>
                <w:iCs/>
              </w:rPr>
            </w:pPr>
            <w:r w:rsidRPr="009B4842">
              <w:rPr>
                <w:iCs/>
              </w:rPr>
              <w:t>2 min</w:t>
            </w:r>
          </w:p>
          <w:p w14:paraId="2D78496B" w14:textId="60BD8049" w:rsidR="009B4842" w:rsidRDefault="009B4842" w:rsidP="00917081">
            <w:pPr>
              <w:spacing w:line="360" w:lineRule="auto"/>
              <w:jc w:val="right"/>
              <w:cnfStyle w:val="000000100000" w:firstRow="0" w:lastRow="0" w:firstColumn="0" w:lastColumn="0" w:oddVBand="0" w:evenVBand="0" w:oddHBand="1" w:evenHBand="0" w:firstRowFirstColumn="0" w:firstRowLastColumn="0" w:lastRowFirstColumn="0" w:lastRowLastColumn="0"/>
              <w:rPr>
                <w:b/>
                <w:bCs/>
                <w:iCs/>
              </w:rPr>
            </w:pPr>
            <w:r w:rsidRPr="009B4842">
              <w:rPr>
                <w:iCs/>
              </w:rPr>
              <w:t>6 min</w:t>
            </w:r>
          </w:p>
        </w:tc>
      </w:tr>
    </w:tbl>
    <w:p w14:paraId="34A2B8A5" w14:textId="77777777" w:rsidR="009B4842" w:rsidRPr="00266A3F" w:rsidRDefault="009B4842" w:rsidP="009B4842">
      <w:pPr>
        <w:rPr>
          <w:b/>
          <w:bCs/>
        </w:rPr>
      </w:pPr>
      <w:r>
        <w:tab/>
      </w:r>
      <w:r>
        <w:tab/>
      </w:r>
      <w:r>
        <w:tab/>
      </w:r>
      <w:r>
        <w:tab/>
      </w:r>
      <w:r>
        <w:tab/>
      </w:r>
      <w:r>
        <w:tab/>
      </w:r>
      <w:r>
        <w:tab/>
      </w:r>
      <w:r>
        <w:tab/>
      </w:r>
      <w:r>
        <w:tab/>
      </w:r>
      <w:r>
        <w:tab/>
      </w:r>
      <w:r w:rsidRPr="00266A3F">
        <w:rPr>
          <w:b/>
          <w:bCs/>
        </w:rPr>
        <w:t xml:space="preserve">          50 min</w:t>
      </w:r>
    </w:p>
    <w:p w14:paraId="14438B5B" w14:textId="7D214CC4" w:rsidR="00A628E5" w:rsidRPr="00B50387" w:rsidRDefault="00A628E5" w:rsidP="009B4842">
      <w:bookmarkStart w:id="0" w:name="_Hlk508605516"/>
    </w:p>
    <w:bookmarkEnd w:id="0"/>
    <w:p w14:paraId="7E45F167" w14:textId="77777777" w:rsidR="00477ECA" w:rsidRDefault="00477ECA" w:rsidP="00DC0EAA">
      <w:pPr>
        <w:tabs>
          <w:tab w:val="left" w:pos="7920"/>
        </w:tabs>
        <w:spacing w:after="120"/>
      </w:pPr>
    </w:p>
    <w:p w14:paraId="5C4B0A55" w14:textId="77777777" w:rsidR="00477ECA" w:rsidRPr="007864A1" w:rsidRDefault="00477ECA" w:rsidP="00DC0EAA">
      <w:pPr>
        <w:spacing w:after="120"/>
      </w:pPr>
    </w:p>
    <w:p w14:paraId="45D839EB" w14:textId="77777777" w:rsidR="00477ECA" w:rsidRPr="00477ECA" w:rsidRDefault="00477ECA" w:rsidP="00B50387"/>
    <w:sectPr w:rsidR="00477ECA" w:rsidRPr="00477ECA" w:rsidSect="00E179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37F9" w14:textId="77777777" w:rsidR="004037CE" w:rsidRDefault="004037CE" w:rsidP="007B268B">
      <w:r>
        <w:separator/>
      </w:r>
    </w:p>
  </w:endnote>
  <w:endnote w:type="continuationSeparator" w:id="0">
    <w:p w14:paraId="5F418D73" w14:textId="77777777" w:rsidR="004037CE" w:rsidRDefault="004037CE" w:rsidP="007B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FA42" w14:textId="77777777" w:rsidR="004037CE" w:rsidRDefault="004037CE" w:rsidP="007B268B">
      <w:r>
        <w:separator/>
      </w:r>
    </w:p>
  </w:footnote>
  <w:footnote w:type="continuationSeparator" w:id="0">
    <w:p w14:paraId="78083AC0" w14:textId="77777777" w:rsidR="004037CE" w:rsidRDefault="004037CE" w:rsidP="007B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6F69" w14:textId="1674727B" w:rsidR="007B268B" w:rsidRDefault="007B268B" w:rsidP="007B268B">
    <w:pPr>
      <w:pStyle w:val="Header"/>
      <w:tabs>
        <w:tab w:val="clear" w:pos="4680"/>
        <w:tab w:val="clear" w:pos="9360"/>
        <w:tab w:val="left" w:pos="2000"/>
      </w:tabs>
      <w:jc w:val="center"/>
    </w:pPr>
    <w:r>
      <w:rPr>
        <w:noProof/>
      </w:rPr>
      <w:drawing>
        <wp:inline distT="0" distB="0" distL="0" distR="0" wp14:anchorId="0C58A6EA" wp14:editId="40080466">
          <wp:extent cx="2306955" cy="67779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4099" cy="700456"/>
                  </a:xfrm>
                  <a:prstGeom prst="rect">
                    <a:avLst/>
                  </a:prstGeom>
                  <a:noFill/>
                  <a:ln>
                    <a:noFill/>
                  </a:ln>
                </pic:spPr>
              </pic:pic>
            </a:graphicData>
          </a:graphic>
        </wp:inline>
      </w:drawing>
    </w:r>
  </w:p>
  <w:p w14:paraId="4562AB44" w14:textId="77777777" w:rsidR="007B268B" w:rsidRDefault="007B2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C91"/>
    <w:multiLevelType w:val="hybridMultilevel"/>
    <w:tmpl w:val="19F06F48"/>
    <w:lvl w:ilvl="0" w:tplc="FA2E6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702A7"/>
    <w:multiLevelType w:val="hybridMultilevel"/>
    <w:tmpl w:val="03B0E408"/>
    <w:lvl w:ilvl="0" w:tplc="FA2E65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A484E"/>
    <w:multiLevelType w:val="hybridMultilevel"/>
    <w:tmpl w:val="0F464CA0"/>
    <w:lvl w:ilvl="0" w:tplc="074A21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963782">
    <w:abstractNumId w:val="1"/>
  </w:num>
  <w:num w:numId="2" w16cid:durableId="1613627792">
    <w:abstractNumId w:val="2"/>
  </w:num>
  <w:num w:numId="3" w16cid:durableId="208321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2NjC3tDCyMLEwMTVQ0lEKTi0uzszPAykwqgUAQxw/MCwAAAA="/>
  </w:docVars>
  <w:rsids>
    <w:rsidRoot w:val="00477ECA"/>
    <w:rsid w:val="000219C6"/>
    <w:rsid w:val="0003644B"/>
    <w:rsid w:val="0009323C"/>
    <w:rsid w:val="002A0BBB"/>
    <w:rsid w:val="004037CE"/>
    <w:rsid w:val="004251AD"/>
    <w:rsid w:val="00477ECA"/>
    <w:rsid w:val="004F6C30"/>
    <w:rsid w:val="00564304"/>
    <w:rsid w:val="00592254"/>
    <w:rsid w:val="00703235"/>
    <w:rsid w:val="00724A23"/>
    <w:rsid w:val="007B268B"/>
    <w:rsid w:val="008A5365"/>
    <w:rsid w:val="008B03A5"/>
    <w:rsid w:val="009B4842"/>
    <w:rsid w:val="009C77F4"/>
    <w:rsid w:val="00A628E5"/>
    <w:rsid w:val="00B50387"/>
    <w:rsid w:val="00DC0EAA"/>
    <w:rsid w:val="00E1792E"/>
    <w:rsid w:val="00EE4DC2"/>
    <w:rsid w:val="00F1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78B98"/>
  <w15:chartTrackingRefBased/>
  <w15:docId w15:val="{133978C4-C8BA-4FD0-BB13-33F7DFE4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ECA"/>
    <w:pPr>
      <w:ind w:left="720"/>
      <w:contextualSpacing/>
    </w:pPr>
  </w:style>
  <w:style w:type="character" w:styleId="CommentReference">
    <w:name w:val="annotation reference"/>
    <w:basedOn w:val="DefaultParagraphFont"/>
    <w:uiPriority w:val="99"/>
    <w:semiHidden/>
    <w:unhideWhenUsed/>
    <w:rsid w:val="004F6C30"/>
    <w:rPr>
      <w:sz w:val="16"/>
      <w:szCs w:val="16"/>
    </w:rPr>
  </w:style>
  <w:style w:type="paragraph" w:styleId="CommentText">
    <w:name w:val="annotation text"/>
    <w:basedOn w:val="Normal"/>
    <w:link w:val="CommentTextChar"/>
    <w:uiPriority w:val="99"/>
    <w:semiHidden/>
    <w:unhideWhenUsed/>
    <w:rsid w:val="004F6C30"/>
    <w:rPr>
      <w:sz w:val="20"/>
      <w:szCs w:val="20"/>
    </w:rPr>
  </w:style>
  <w:style w:type="character" w:customStyle="1" w:styleId="CommentTextChar">
    <w:name w:val="Comment Text Char"/>
    <w:basedOn w:val="DefaultParagraphFont"/>
    <w:link w:val="CommentText"/>
    <w:uiPriority w:val="99"/>
    <w:semiHidden/>
    <w:rsid w:val="004F6C30"/>
    <w:rPr>
      <w:sz w:val="20"/>
      <w:szCs w:val="20"/>
    </w:rPr>
  </w:style>
  <w:style w:type="paragraph" w:styleId="CommentSubject">
    <w:name w:val="annotation subject"/>
    <w:basedOn w:val="CommentText"/>
    <w:next w:val="CommentText"/>
    <w:link w:val="CommentSubjectChar"/>
    <w:uiPriority w:val="99"/>
    <w:semiHidden/>
    <w:unhideWhenUsed/>
    <w:rsid w:val="004F6C30"/>
    <w:rPr>
      <w:b/>
      <w:bCs/>
    </w:rPr>
  </w:style>
  <w:style w:type="character" w:customStyle="1" w:styleId="CommentSubjectChar">
    <w:name w:val="Comment Subject Char"/>
    <w:basedOn w:val="CommentTextChar"/>
    <w:link w:val="CommentSubject"/>
    <w:uiPriority w:val="99"/>
    <w:semiHidden/>
    <w:rsid w:val="004F6C30"/>
    <w:rPr>
      <w:b/>
      <w:bCs/>
      <w:sz w:val="20"/>
      <w:szCs w:val="20"/>
    </w:rPr>
  </w:style>
  <w:style w:type="paragraph" w:styleId="BalloonText">
    <w:name w:val="Balloon Text"/>
    <w:basedOn w:val="Normal"/>
    <w:link w:val="BalloonTextChar"/>
    <w:uiPriority w:val="99"/>
    <w:semiHidden/>
    <w:unhideWhenUsed/>
    <w:rsid w:val="004F6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C30"/>
    <w:rPr>
      <w:rFonts w:ascii="Segoe UI" w:hAnsi="Segoe UI" w:cs="Segoe UI"/>
      <w:sz w:val="18"/>
      <w:szCs w:val="18"/>
    </w:rPr>
  </w:style>
  <w:style w:type="paragraph" w:styleId="Header">
    <w:name w:val="header"/>
    <w:basedOn w:val="Normal"/>
    <w:link w:val="HeaderChar"/>
    <w:uiPriority w:val="99"/>
    <w:unhideWhenUsed/>
    <w:rsid w:val="007B268B"/>
    <w:pPr>
      <w:tabs>
        <w:tab w:val="center" w:pos="4680"/>
        <w:tab w:val="right" w:pos="9360"/>
      </w:tabs>
    </w:pPr>
  </w:style>
  <w:style w:type="character" w:customStyle="1" w:styleId="HeaderChar">
    <w:name w:val="Header Char"/>
    <w:basedOn w:val="DefaultParagraphFont"/>
    <w:link w:val="Header"/>
    <w:uiPriority w:val="99"/>
    <w:rsid w:val="007B268B"/>
  </w:style>
  <w:style w:type="paragraph" w:styleId="Footer">
    <w:name w:val="footer"/>
    <w:basedOn w:val="Normal"/>
    <w:link w:val="FooterChar"/>
    <w:uiPriority w:val="99"/>
    <w:unhideWhenUsed/>
    <w:rsid w:val="007B268B"/>
    <w:pPr>
      <w:tabs>
        <w:tab w:val="center" w:pos="4680"/>
        <w:tab w:val="right" w:pos="9360"/>
      </w:tabs>
    </w:pPr>
  </w:style>
  <w:style w:type="character" w:customStyle="1" w:styleId="FooterChar">
    <w:name w:val="Footer Char"/>
    <w:basedOn w:val="DefaultParagraphFont"/>
    <w:link w:val="Footer"/>
    <w:uiPriority w:val="99"/>
    <w:rsid w:val="007B268B"/>
  </w:style>
  <w:style w:type="table" w:styleId="PlainTable1">
    <w:name w:val="Plain Table 1"/>
    <w:basedOn w:val="TableNormal"/>
    <w:uiPriority w:val="41"/>
    <w:rsid w:val="009B48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20E06-3605-4B9F-AB08-A31E582AE463}">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FF0C414B-AD3A-406A-B1C4-A0E7D3BBDC4C}">
  <ds:schemaRefs>
    <ds:schemaRef ds:uri="http://schemas.microsoft.com/sharepoint/v3/contenttype/forms"/>
  </ds:schemaRefs>
</ds:datastoreItem>
</file>

<file path=customXml/itemProps3.xml><?xml version="1.0" encoding="utf-8"?>
<ds:datastoreItem xmlns:ds="http://schemas.openxmlformats.org/officeDocument/2006/customXml" ds:itemID="{A0612F91-08FA-413F-9512-32ADF902F80A}"/>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Tharp</dc:creator>
  <cp:keywords/>
  <dc:description/>
  <cp:lastModifiedBy>Paula Frey</cp:lastModifiedBy>
  <cp:revision>2</cp:revision>
  <dcterms:created xsi:type="dcterms:W3CDTF">2023-11-22T17:00:00Z</dcterms:created>
  <dcterms:modified xsi:type="dcterms:W3CDTF">2023-11-22T17:00:00Z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1902100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