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CF21" w14:textId="77777777" w:rsidR="00266A3F" w:rsidRDefault="00266A3F" w:rsidP="005F0F48">
      <w:pPr>
        <w:shd w:val="clear" w:color="auto" w:fill="FFFFFF"/>
        <w:jc w:val="center"/>
        <w:rPr>
          <w:b/>
          <w:bCs/>
          <w:sz w:val="28"/>
          <w:szCs w:val="28"/>
        </w:rPr>
      </w:pPr>
    </w:p>
    <w:p w14:paraId="0B259310" w14:textId="7A3CC4A4" w:rsidR="005F0F48" w:rsidRPr="00266A3F" w:rsidRDefault="008D60D5" w:rsidP="005F0F48">
      <w:pPr>
        <w:shd w:val="clear" w:color="auto" w:fill="FFFFFF"/>
        <w:jc w:val="center"/>
        <w:rPr>
          <w:rFonts w:ascii="Arial" w:hAnsi="Arial" w:cs="Arial"/>
          <w:b/>
          <w:bCs/>
          <w:sz w:val="28"/>
          <w:szCs w:val="28"/>
        </w:rPr>
      </w:pPr>
      <w:r w:rsidRPr="00266A3F">
        <w:rPr>
          <w:rFonts w:ascii="Arial" w:hAnsi="Arial" w:cs="Arial"/>
          <w:b/>
          <w:bCs/>
          <w:sz w:val="28"/>
          <w:szCs w:val="28"/>
        </w:rPr>
        <w:t xml:space="preserve">How Real Retirement Spending Patterns </w:t>
      </w:r>
    </w:p>
    <w:p w14:paraId="4B78A9CC" w14:textId="3B877BCB" w:rsidR="007864A1" w:rsidRPr="00266A3F" w:rsidRDefault="008D60D5" w:rsidP="005F0F48">
      <w:pPr>
        <w:shd w:val="clear" w:color="auto" w:fill="FFFFFF"/>
        <w:jc w:val="center"/>
        <w:rPr>
          <w:rFonts w:ascii="Arial" w:hAnsi="Arial" w:cs="Arial"/>
          <w:b/>
          <w:bCs/>
          <w:sz w:val="28"/>
          <w:szCs w:val="28"/>
        </w:rPr>
      </w:pPr>
      <w:r w:rsidRPr="00266A3F">
        <w:rPr>
          <w:rFonts w:ascii="Arial" w:hAnsi="Arial" w:cs="Arial"/>
          <w:b/>
          <w:bCs/>
          <w:sz w:val="28"/>
          <w:szCs w:val="28"/>
        </w:rPr>
        <w:t>Change Traditional Retirement Withdrawal Strategies</w:t>
      </w:r>
    </w:p>
    <w:p w14:paraId="3A40D839" w14:textId="7D2F6983" w:rsidR="005F0F48" w:rsidRDefault="005F0F48" w:rsidP="005F0F48">
      <w:pPr>
        <w:shd w:val="clear" w:color="auto" w:fill="FFFFFF"/>
        <w:jc w:val="center"/>
      </w:pPr>
      <w:r>
        <w:t>A Presentation by Dr. Derek Tharp</w:t>
      </w:r>
    </w:p>
    <w:p w14:paraId="1EEFCFA3" w14:textId="77777777" w:rsidR="00266A3F" w:rsidRDefault="00266A3F" w:rsidP="005F0F48">
      <w:pPr>
        <w:shd w:val="clear" w:color="auto" w:fill="FFFFFF"/>
        <w:jc w:val="center"/>
      </w:pPr>
    </w:p>
    <w:p w14:paraId="20EA354F" w14:textId="001AD857" w:rsidR="005F0F48" w:rsidRDefault="005F0F48" w:rsidP="005F0F48">
      <w:pPr>
        <w:shd w:val="clear" w:color="auto" w:fill="FFFFFF"/>
        <w:jc w:val="center"/>
      </w:pPr>
    </w:p>
    <w:p w14:paraId="1B0297C2" w14:textId="1243D245" w:rsidR="007864A1" w:rsidRPr="005F0F48" w:rsidRDefault="005F0F48" w:rsidP="007864A1">
      <w:pPr>
        <w:shd w:val="clear" w:color="auto" w:fill="FFFFFF"/>
        <w:rPr>
          <w:rFonts w:eastAsia="Times New Roman"/>
          <w:color w:val="222222"/>
        </w:rPr>
      </w:pPr>
      <w:r>
        <w:rPr>
          <w:noProof/>
        </w:rPr>
        <w:drawing>
          <wp:anchor distT="0" distB="0" distL="114300" distR="114300" simplePos="0" relativeHeight="251658240" behindDoc="0" locked="0" layoutInCell="1" allowOverlap="1" wp14:anchorId="4F1F56F9" wp14:editId="3804DCD6">
            <wp:simplePos x="0" y="0"/>
            <wp:positionH relativeFrom="column">
              <wp:posOffset>0</wp:posOffset>
            </wp:positionH>
            <wp:positionV relativeFrom="paragraph">
              <wp:posOffset>-635</wp:posOffset>
            </wp:positionV>
            <wp:extent cx="1687286" cy="2362200"/>
            <wp:effectExtent l="38100" t="38100" r="46355" b="38100"/>
            <wp:wrapThrough wrapText="bothSides">
              <wp:wrapPolygon edited="0">
                <wp:start x="-488" y="-348"/>
                <wp:lineTo x="-488" y="21774"/>
                <wp:lineTo x="21950" y="21774"/>
                <wp:lineTo x="21950" y="-348"/>
                <wp:lineTo x="-488" y="-348"/>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7286" cy="2362200"/>
                    </a:xfrm>
                    <a:prstGeom prst="rect">
                      <a:avLst/>
                    </a:prstGeom>
                    <a:noFill/>
                    <a:ln w="25400">
                      <a:solidFill>
                        <a:srgbClr val="003399"/>
                      </a:solidFill>
                    </a:ln>
                    <a:effectLst>
                      <a:softEdge rad="0"/>
                    </a:effectLst>
                  </pic:spPr>
                </pic:pic>
              </a:graphicData>
            </a:graphic>
            <wp14:sizeRelH relativeFrom="page">
              <wp14:pctWidth>0</wp14:pctWidth>
            </wp14:sizeRelH>
            <wp14:sizeRelV relativeFrom="page">
              <wp14:pctHeight>0</wp14:pctHeight>
            </wp14:sizeRelV>
          </wp:anchor>
        </w:drawing>
      </w:r>
      <w:bookmarkStart w:id="0" w:name="_Hlk513217067"/>
      <w:r w:rsidR="008D60D5" w:rsidRPr="008D60D5">
        <w:rPr>
          <w:color w:val="222222"/>
          <w:shd w:val="clear" w:color="auto" w:fill="FFFFFF"/>
        </w:rPr>
        <w:t xml:space="preserve">Derek T. Tharp is a research associate at Kitces.com and the founder of Conscious Capital, a financial planning firm located in Cedar Rapids, Iowa. Derek earned his Ph.D. in personal financial planning at Kansas State University. While studying at Kansas State, Derek was awarded the Cary M. Maguire Fellowship in Applied Ethics with The American College of Financial Services and a Visiting Dissertation Fellowship with the </w:t>
      </w:r>
      <w:proofErr w:type="spellStart"/>
      <w:r w:rsidR="008D60D5" w:rsidRPr="008D60D5">
        <w:rPr>
          <w:color w:val="222222"/>
          <w:shd w:val="clear" w:color="auto" w:fill="FFFFFF"/>
        </w:rPr>
        <w:t>Mercatus</w:t>
      </w:r>
      <w:proofErr w:type="spellEnd"/>
      <w:r w:rsidR="008D60D5" w:rsidRPr="008D60D5">
        <w:rPr>
          <w:color w:val="222222"/>
          <w:shd w:val="clear" w:color="auto" w:fill="FFFFFF"/>
        </w:rPr>
        <w:t xml:space="preserve"> Center at George Mason University. In addition to writing at Kitces.com, Derek regularly contributes to the wealth management section of the Wall Street Journal’s Experts Blog. His research has been published in academic journals such as the </w:t>
      </w:r>
      <w:r w:rsidR="008D60D5" w:rsidRPr="008D60D5">
        <w:rPr>
          <w:i/>
          <w:iCs/>
          <w:color w:val="222222"/>
          <w:shd w:val="clear" w:color="auto" w:fill="FFFFFF"/>
        </w:rPr>
        <w:t>Journal of Retirement</w:t>
      </w:r>
      <w:r w:rsidR="008D60D5" w:rsidRPr="008D60D5">
        <w:rPr>
          <w:color w:val="222222"/>
          <w:shd w:val="clear" w:color="auto" w:fill="FFFFFF"/>
        </w:rPr>
        <w:t> and </w:t>
      </w:r>
      <w:r w:rsidR="008D60D5" w:rsidRPr="008D60D5">
        <w:rPr>
          <w:i/>
          <w:iCs/>
          <w:color w:val="222222"/>
          <w:shd w:val="clear" w:color="auto" w:fill="FFFFFF"/>
        </w:rPr>
        <w:t>Journal of Personal Finance</w:t>
      </w:r>
      <w:r w:rsidR="008D60D5" w:rsidRPr="008D60D5">
        <w:rPr>
          <w:color w:val="222222"/>
          <w:shd w:val="clear" w:color="auto" w:fill="FFFFFF"/>
        </w:rPr>
        <w:t>, and he coauthored a chapter in the textbook </w:t>
      </w:r>
      <w:r w:rsidR="008D60D5" w:rsidRPr="008D60D5">
        <w:rPr>
          <w:i/>
          <w:iCs/>
          <w:color w:val="222222"/>
          <w:shd w:val="clear" w:color="auto" w:fill="FFFFFF"/>
        </w:rPr>
        <w:t>Financial Therapy: Theory, Research, and Practice</w:t>
      </w:r>
      <w:r w:rsidR="008D60D5" w:rsidRPr="008D60D5">
        <w:rPr>
          <w:color w:val="222222"/>
          <w:shd w:val="clear" w:color="auto" w:fill="FFFFFF"/>
        </w:rPr>
        <w:t>.</w:t>
      </w:r>
    </w:p>
    <w:bookmarkEnd w:id="0"/>
    <w:p w14:paraId="10AFC48F" w14:textId="77777777" w:rsidR="008D60D5" w:rsidRPr="007864A1" w:rsidRDefault="008D60D5" w:rsidP="007864A1">
      <w:pPr>
        <w:shd w:val="clear" w:color="auto" w:fill="FFFFFF"/>
        <w:rPr>
          <w:rFonts w:eastAsia="Times New Roman"/>
          <w:color w:val="222222"/>
        </w:rPr>
      </w:pPr>
    </w:p>
    <w:p w14:paraId="760B0C32" w14:textId="178A1C64" w:rsidR="007864A1" w:rsidRPr="00266A3F" w:rsidRDefault="007864A1" w:rsidP="00266A3F">
      <w:pPr>
        <w:shd w:val="clear" w:color="auto" w:fill="FFFFFF"/>
        <w:spacing w:line="276" w:lineRule="auto"/>
        <w:rPr>
          <w:rFonts w:ascii="Arial" w:eastAsia="Times New Roman" w:hAnsi="Arial" w:cs="Arial"/>
          <w:b/>
          <w:bCs/>
          <w:iCs/>
          <w:color w:val="222222"/>
        </w:rPr>
      </w:pPr>
      <w:r w:rsidRPr="00266A3F">
        <w:rPr>
          <w:rFonts w:ascii="Arial" w:eastAsia="Times New Roman" w:hAnsi="Arial" w:cs="Arial"/>
          <w:b/>
          <w:bCs/>
          <w:iCs/>
          <w:color w:val="222222"/>
        </w:rPr>
        <w:t>Session Description</w:t>
      </w:r>
    </w:p>
    <w:p w14:paraId="28AA2539" w14:textId="6F24D392" w:rsidR="00AB508D" w:rsidRDefault="00AB508D" w:rsidP="00AB508D">
      <w:r>
        <w:rPr>
          <w:rFonts w:eastAsia="Times New Roman"/>
          <w:color w:val="222222"/>
        </w:rPr>
        <w:t xml:space="preserve">This presentation examines how real retirement spending patterns change traditional retirement withdrawal strategies. Specifically, commonly used retirement spending assumptions are compared to actual retirement spending patterns of retirees. </w:t>
      </w:r>
      <w:r>
        <w:t xml:space="preserve">This comparison reveals that typical assumptions of constant real spending often overstates </w:t>
      </w:r>
      <w:r w:rsidR="003B4C0A">
        <w:t>retirement spending</w:t>
      </w:r>
      <w:r>
        <w:t xml:space="preserve">. As a result, </w:t>
      </w:r>
      <w:r w:rsidR="003B4C0A">
        <w:t xml:space="preserve">commonly </w:t>
      </w:r>
      <w:r>
        <w:t xml:space="preserve">assumptions </w:t>
      </w:r>
      <w:r w:rsidR="003B4C0A">
        <w:t>may overstate retirement savings need</w:t>
      </w:r>
      <w:r>
        <w:t xml:space="preserve">. Accounting for more realistic </w:t>
      </w:r>
      <w:r w:rsidR="003B4C0A">
        <w:t>retirement spending results in higher safe withdrawal rates</w:t>
      </w:r>
      <w:r>
        <w:t xml:space="preserve"> than </w:t>
      </w:r>
      <w:r w:rsidR="003B4C0A">
        <w:t xml:space="preserve">prior </w:t>
      </w:r>
      <w:r>
        <w:t>r</w:t>
      </w:r>
      <w:r w:rsidR="003B4C0A">
        <w:t>esearch has typically indicated</w:t>
      </w:r>
      <w:r>
        <w:t>. Typical assumptions also fail to acco</w:t>
      </w:r>
      <w:r w:rsidR="003B4C0A">
        <w:t>unt for the potential to make adjustments in retirement that can keep a retirement spending plan on track</w:t>
      </w:r>
      <w:r>
        <w:t>.</w:t>
      </w:r>
    </w:p>
    <w:p w14:paraId="4498930A" w14:textId="2A678E8E" w:rsidR="007864A1" w:rsidRPr="007864A1" w:rsidRDefault="007864A1" w:rsidP="007864A1">
      <w:pPr>
        <w:shd w:val="clear" w:color="auto" w:fill="FFFFFF"/>
        <w:rPr>
          <w:rFonts w:eastAsia="Times New Roman"/>
          <w:color w:val="222222"/>
        </w:rPr>
      </w:pPr>
    </w:p>
    <w:p w14:paraId="4D647B4C" w14:textId="42C8303B" w:rsidR="004D56A3" w:rsidRPr="00266A3F" w:rsidRDefault="004D56A3" w:rsidP="00266A3F">
      <w:pPr>
        <w:shd w:val="clear" w:color="auto" w:fill="FFFFFF"/>
        <w:rPr>
          <w:rFonts w:eastAsia="Times New Roman"/>
          <w:color w:val="222222"/>
        </w:rPr>
        <w:sectPr w:rsidR="004D56A3" w:rsidRPr="00266A3F">
          <w:headerReference w:type="default" r:id="rId11"/>
          <w:pgSz w:w="12240" w:h="15840"/>
          <w:pgMar w:top="1440" w:right="1440" w:bottom="1440" w:left="1440" w:header="720" w:footer="720" w:gutter="0"/>
          <w:cols w:space="720"/>
          <w:docGrid w:linePitch="360"/>
        </w:sectPr>
      </w:pPr>
    </w:p>
    <w:p w14:paraId="00CDDD10" w14:textId="5042DA47" w:rsidR="004D56A3" w:rsidRPr="00266A3F" w:rsidRDefault="007864A1" w:rsidP="00266A3F">
      <w:pPr>
        <w:spacing w:line="360" w:lineRule="auto"/>
        <w:rPr>
          <w:rFonts w:ascii="Arial" w:hAnsi="Arial" w:cs="Arial"/>
          <w:b/>
          <w:bCs/>
          <w:iCs/>
        </w:rPr>
      </w:pPr>
      <w:r w:rsidRPr="00266A3F">
        <w:rPr>
          <w:rFonts w:ascii="Arial" w:hAnsi="Arial" w:cs="Arial"/>
          <w:b/>
          <w:bCs/>
          <w:iCs/>
        </w:rPr>
        <w:t>Learning Objectives</w:t>
      </w:r>
    </w:p>
    <w:p w14:paraId="645494EC" w14:textId="1BE20B50" w:rsidR="004D56A3" w:rsidRDefault="003B4C0A" w:rsidP="004D56A3">
      <w:pPr>
        <w:pStyle w:val="ListParagraph"/>
        <w:numPr>
          <w:ilvl w:val="0"/>
          <w:numId w:val="2"/>
        </w:numPr>
      </w:pPr>
      <w:r>
        <w:t>Identify the traditional financial planning retirement spending assumptions.</w:t>
      </w:r>
    </w:p>
    <w:p w14:paraId="219B9155" w14:textId="77777777" w:rsidR="004D56A3" w:rsidRDefault="003B4C0A" w:rsidP="004D56A3">
      <w:pPr>
        <w:pStyle w:val="ListParagraph"/>
        <w:numPr>
          <w:ilvl w:val="0"/>
          <w:numId w:val="2"/>
        </w:numPr>
        <w:rPr>
          <w:b/>
          <w:bCs/>
          <w:iCs/>
        </w:rPr>
      </w:pPr>
      <w:r>
        <w:t>Identify the traditional assumptions underlying safe withdrawal rate (SWR) research.</w:t>
      </w:r>
    </w:p>
    <w:p w14:paraId="60705311" w14:textId="77777777" w:rsidR="004D56A3" w:rsidRDefault="003B4C0A" w:rsidP="004D56A3">
      <w:pPr>
        <w:pStyle w:val="ListParagraph"/>
        <w:numPr>
          <w:ilvl w:val="0"/>
          <w:numId w:val="2"/>
        </w:numPr>
        <w:rPr>
          <w:b/>
          <w:bCs/>
          <w:iCs/>
        </w:rPr>
      </w:pPr>
      <w:r>
        <w:t>Identify how historical retirement spending data deviates from traditional assumptions.</w:t>
      </w:r>
    </w:p>
    <w:p w14:paraId="2D3948BB" w14:textId="77777777" w:rsidR="004D56A3" w:rsidRDefault="003B4C0A" w:rsidP="004D56A3">
      <w:pPr>
        <w:pStyle w:val="ListParagraph"/>
        <w:numPr>
          <w:ilvl w:val="0"/>
          <w:numId w:val="2"/>
        </w:numPr>
        <w:rPr>
          <w:b/>
          <w:bCs/>
          <w:iCs/>
        </w:rPr>
      </w:pPr>
      <w:r>
        <w:t xml:space="preserve">Identify the implications that result from adopting more realistic assumptions. </w:t>
      </w:r>
    </w:p>
    <w:p w14:paraId="37367B07" w14:textId="4BC705E0" w:rsidR="003B4C0A" w:rsidRPr="004D56A3" w:rsidRDefault="003B4C0A" w:rsidP="004D56A3">
      <w:pPr>
        <w:pStyle w:val="ListParagraph"/>
        <w:numPr>
          <w:ilvl w:val="0"/>
          <w:numId w:val="2"/>
        </w:numPr>
        <w:rPr>
          <w:b/>
          <w:bCs/>
          <w:iCs/>
        </w:rPr>
      </w:pPr>
      <w:r>
        <w:t>Identify how adjustments in retirement spending can keep a retirement spending plan on track.</w:t>
      </w:r>
    </w:p>
    <w:p w14:paraId="6B3103DE" w14:textId="77777777" w:rsidR="007864A1" w:rsidRPr="007864A1" w:rsidRDefault="007864A1" w:rsidP="007864A1"/>
    <w:p w14:paraId="0563685D" w14:textId="2FBCB8D9" w:rsidR="003B4B60" w:rsidRPr="00266A3F" w:rsidRDefault="003B4C0A" w:rsidP="003B4B60">
      <w:pPr>
        <w:jc w:val="center"/>
        <w:rPr>
          <w:rFonts w:ascii="Arial" w:hAnsi="Arial" w:cs="Arial"/>
          <w:b/>
          <w:bCs/>
          <w:iCs/>
        </w:rPr>
      </w:pPr>
      <w:r w:rsidRPr="00266A3F">
        <w:rPr>
          <w:rFonts w:ascii="Arial" w:hAnsi="Arial" w:cs="Arial"/>
          <w:b/>
          <w:bCs/>
          <w:iCs/>
        </w:rPr>
        <w:t>Level of Complexity</w:t>
      </w:r>
    </w:p>
    <w:p w14:paraId="6D2DFB56" w14:textId="45F445D6" w:rsidR="003B4C0A" w:rsidRPr="003B4B60" w:rsidRDefault="003B4C0A" w:rsidP="003B4B60">
      <w:pPr>
        <w:jc w:val="center"/>
        <w:rPr>
          <w:b/>
          <w:bCs/>
          <w:iCs/>
        </w:rPr>
      </w:pPr>
      <w:r w:rsidRPr="007864A1">
        <w:t>CFP/IMCA: Intermediate</w:t>
      </w:r>
    </w:p>
    <w:p w14:paraId="180FF54D" w14:textId="77777777" w:rsidR="003B4C0A" w:rsidRPr="007864A1" w:rsidRDefault="003B4C0A" w:rsidP="003B4C0A"/>
    <w:p w14:paraId="4DAB523C" w14:textId="760C3B9D" w:rsidR="003B4B60" w:rsidRPr="00266A3F" w:rsidRDefault="003B4C0A" w:rsidP="003B4B60">
      <w:pPr>
        <w:jc w:val="center"/>
        <w:rPr>
          <w:rFonts w:ascii="Arial" w:hAnsi="Arial" w:cs="Arial"/>
          <w:b/>
          <w:bCs/>
          <w:iCs/>
        </w:rPr>
      </w:pPr>
      <w:r w:rsidRPr="00266A3F">
        <w:rPr>
          <w:rFonts w:ascii="Arial" w:hAnsi="Arial" w:cs="Arial"/>
          <w:b/>
          <w:bCs/>
          <w:iCs/>
        </w:rPr>
        <w:t>Topic Areas</w:t>
      </w:r>
    </w:p>
    <w:p w14:paraId="04260AA9" w14:textId="59207813" w:rsidR="003B4C0A" w:rsidRPr="003B4B60" w:rsidRDefault="003B4C0A" w:rsidP="003B4B60">
      <w:pPr>
        <w:jc w:val="center"/>
        <w:rPr>
          <w:b/>
          <w:bCs/>
          <w:iCs/>
        </w:rPr>
      </w:pPr>
      <w:r>
        <w:t>CFP: Retirement Savings and Income Planning</w:t>
      </w:r>
    </w:p>
    <w:p w14:paraId="42739CBB" w14:textId="77777777" w:rsidR="003B4C0A" w:rsidRDefault="003B4C0A" w:rsidP="003B4C0A"/>
    <w:p w14:paraId="79537596" w14:textId="28915A58" w:rsidR="003B4B60" w:rsidRPr="00266A3F" w:rsidRDefault="003B4C0A" w:rsidP="003B4B60">
      <w:pPr>
        <w:jc w:val="center"/>
        <w:rPr>
          <w:rFonts w:ascii="Arial" w:hAnsi="Arial" w:cs="Arial"/>
          <w:i/>
        </w:rPr>
      </w:pPr>
      <w:r w:rsidRPr="00266A3F">
        <w:rPr>
          <w:rFonts w:ascii="Arial" w:hAnsi="Arial" w:cs="Arial"/>
          <w:b/>
          <w:bCs/>
          <w:iCs/>
        </w:rPr>
        <w:t>Hour(s) of C</w:t>
      </w:r>
      <w:r w:rsidR="00266A3F" w:rsidRPr="00266A3F">
        <w:rPr>
          <w:rFonts w:ascii="Arial" w:hAnsi="Arial" w:cs="Arial"/>
          <w:b/>
          <w:bCs/>
          <w:iCs/>
        </w:rPr>
        <w:t>E</w:t>
      </w:r>
    </w:p>
    <w:p w14:paraId="7722C4AC" w14:textId="54C3DF1E" w:rsidR="003B4C0A" w:rsidRPr="003B4B60" w:rsidRDefault="003B4C0A" w:rsidP="003B4B60">
      <w:pPr>
        <w:jc w:val="center"/>
        <w:rPr>
          <w:i/>
        </w:rPr>
      </w:pPr>
      <w:r>
        <w:t>CFP: 1.0</w:t>
      </w:r>
    </w:p>
    <w:p w14:paraId="43F5A637" w14:textId="77777777" w:rsidR="004D56A3" w:rsidRDefault="004D56A3" w:rsidP="005F0F48">
      <w:pPr>
        <w:pStyle w:val="ListParagraph"/>
        <w:sectPr w:rsidR="004D56A3" w:rsidSect="003B4B60">
          <w:type w:val="continuous"/>
          <w:pgSz w:w="12240" w:h="15840"/>
          <w:pgMar w:top="1440" w:right="1440" w:bottom="1440" w:left="1440" w:header="720" w:footer="720" w:gutter="0"/>
          <w:cols w:num="2" w:space="720" w:equalWidth="0">
            <w:col w:w="6000" w:space="720"/>
            <w:col w:w="2640"/>
          </w:cols>
          <w:docGrid w:linePitch="360"/>
        </w:sectPr>
      </w:pPr>
    </w:p>
    <w:p w14:paraId="26B4B43E" w14:textId="22DAEE53" w:rsidR="005F0F48" w:rsidRDefault="005F0F48" w:rsidP="005F0F48">
      <w:pPr>
        <w:pStyle w:val="ListParagraph"/>
      </w:pPr>
    </w:p>
    <w:p w14:paraId="0BDFFF1C" w14:textId="643E2D62" w:rsidR="003B4C0A" w:rsidRDefault="003B4C0A" w:rsidP="003B4C0A"/>
    <w:p w14:paraId="405FE849" w14:textId="3A5F10A3" w:rsidR="003B4B60" w:rsidRDefault="003B4B60" w:rsidP="003B4C0A"/>
    <w:p w14:paraId="6C0E0811" w14:textId="77777777" w:rsidR="003B4B60" w:rsidRDefault="003B4B60" w:rsidP="003B4C0A"/>
    <w:p w14:paraId="783F7BF0" w14:textId="1B8173C4" w:rsidR="003B4B60" w:rsidRPr="00266A3F" w:rsidRDefault="003B4C0A" w:rsidP="00266A3F">
      <w:pPr>
        <w:spacing w:line="276" w:lineRule="auto"/>
        <w:rPr>
          <w:rFonts w:ascii="Arial" w:hAnsi="Arial" w:cs="Arial"/>
          <w:b/>
          <w:bCs/>
          <w:iCs/>
        </w:rPr>
      </w:pPr>
      <w:r w:rsidRPr="00266A3F">
        <w:rPr>
          <w:rFonts w:ascii="Arial" w:hAnsi="Arial" w:cs="Arial"/>
          <w:b/>
          <w:bCs/>
          <w:iCs/>
        </w:rPr>
        <w:t>Outline</w:t>
      </w:r>
      <w:bookmarkStart w:id="1" w:name="_Hlk508605516"/>
    </w:p>
    <w:tbl>
      <w:tblPr>
        <w:tblStyle w:val="PlainTable1"/>
        <w:tblW w:w="858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Look w:val="0480" w:firstRow="0" w:lastRow="0" w:firstColumn="1" w:lastColumn="0" w:noHBand="0" w:noVBand="1"/>
      </w:tblPr>
      <w:tblGrid>
        <w:gridCol w:w="6745"/>
        <w:gridCol w:w="1837"/>
      </w:tblGrid>
      <w:tr w:rsidR="003B4B60" w14:paraId="65EEC080" w14:textId="77777777" w:rsidTr="00266A3F">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745" w:type="dxa"/>
          </w:tcPr>
          <w:p w14:paraId="0454FC29" w14:textId="06806F78" w:rsidR="003B4B60" w:rsidRPr="003B4B60" w:rsidRDefault="003B4B60" w:rsidP="00266A3F">
            <w:pPr>
              <w:spacing w:line="360" w:lineRule="auto"/>
              <w:rPr>
                <w:b w:val="0"/>
                <w:bCs w:val="0"/>
                <w:iCs/>
              </w:rPr>
            </w:pPr>
            <w:r w:rsidRPr="003B4B60">
              <w:rPr>
                <w:b w:val="0"/>
                <w:bCs w:val="0"/>
              </w:rPr>
              <w:t>Traditional retirement spending assumptions</w:t>
            </w:r>
          </w:p>
        </w:tc>
        <w:tc>
          <w:tcPr>
            <w:tcW w:w="1837" w:type="dxa"/>
          </w:tcPr>
          <w:p w14:paraId="4B5A6558" w14:textId="3603D079" w:rsidR="003B4B60" w:rsidRDefault="003B4B60" w:rsidP="00266A3F">
            <w:pPr>
              <w:spacing w:line="360" w:lineRule="auto"/>
              <w:jc w:val="right"/>
              <w:cnfStyle w:val="000000100000" w:firstRow="0" w:lastRow="0" w:firstColumn="0" w:lastColumn="0" w:oddVBand="0" w:evenVBand="0" w:oddHBand="1" w:evenHBand="0" w:firstRowFirstColumn="0" w:firstRowLastColumn="0" w:lastRowFirstColumn="0" w:lastRowLastColumn="0"/>
              <w:rPr>
                <w:b/>
                <w:bCs/>
                <w:iCs/>
              </w:rPr>
            </w:pPr>
            <w:r>
              <w:t>12 min</w:t>
            </w:r>
          </w:p>
        </w:tc>
      </w:tr>
      <w:tr w:rsidR="003B4B60" w14:paraId="7D0D690D" w14:textId="77777777" w:rsidTr="00266A3F">
        <w:trPr>
          <w:trHeight w:val="292"/>
        </w:trPr>
        <w:tc>
          <w:tcPr>
            <w:cnfStyle w:val="001000000000" w:firstRow="0" w:lastRow="0" w:firstColumn="1" w:lastColumn="0" w:oddVBand="0" w:evenVBand="0" w:oddHBand="0" w:evenHBand="0" w:firstRowFirstColumn="0" w:firstRowLastColumn="0" w:lastRowFirstColumn="0" w:lastRowLastColumn="0"/>
            <w:tcW w:w="6745" w:type="dxa"/>
          </w:tcPr>
          <w:p w14:paraId="135BDF0C" w14:textId="0375C9B9" w:rsidR="003B4B60" w:rsidRPr="003B4B60" w:rsidRDefault="003B4B60" w:rsidP="00266A3F">
            <w:pPr>
              <w:spacing w:line="360" w:lineRule="auto"/>
              <w:rPr>
                <w:b w:val="0"/>
                <w:bCs w:val="0"/>
                <w:iCs/>
              </w:rPr>
            </w:pPr>
            <w:r w:rsidRPr="003B4B60">
              <w:rPr>
                <w:b w:val="0"/>
                <w:bCs w:val="0"/>
              </w:rPr>
              <w:t>Historical retirement spending data</w:t>
            </w:r>
            <w:r w:rsidRPr="003B4B60">
              <w:rPr>
                <w:b w:val="0"/>
                <w:bCs w:val="0"/>
              </w:rPr>
              <w:tab/>
            </w:r>
          </w:p>
        </w:tc>
        <w:tc>
          <w:tcPr>
            <w:tcW w:w="1837" w:type="dxa"/>
          </w:tcPr>
          <w:p w14:paraId="46887C17" w14:textId="4A3AC95B" w:rsidR="003B4B60" w:rsidRPr="003B4B60" w:rsidRDefault="003B4B60" w:rsidP="00266A3F">
            <w:pPr>
              <w:spacing w:line="360" w:lineRule="auto"/>
              <w:jc w:val="right"/>
              <w:cnfStyle w:val="000000000000" w:firstRow="0" w:lastRow="0" w:firstColumn="0" w:lastColumn="0" w:oddVBand="0" w:evenVBand="0" w:oddHBand="0" w:evenHBand="0" w:firstRowFirstColumn="0" w:firstRowLastColumn="0" w:lastRowFirstColumn="0" w:lastRowLastColumn="0"/>
            </w:pPr>
            <w:r>
              <w:t>10 min</w:t>
            </w:r>
          </w:p>
        </w:tc>
      </w:tr>
      <w:tr w:rsidR="003B4B60" w14:paraId="23A26212" w14:textId="77777777" w:rsidTr="00266A3F">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6745" w:type="dxa"/>
          </w:tcPr>
          <w:p w14:paraId="06840ABE" w14:textId="7642B8F7" w:rsidR="003B4B60" w:rsidRPr="003B4B60" w:rsidRDefault="003B4B60" w:rsidP="00266A3F">
            <w:pPr>
              <w:spacing w:line="360" w:lineRule="auto"/>
              <w:rPr>
                <w:b w:val="0"/>
                <w:bCs w:val="0"/>
                <w:iCs/>
              </w:rPr>
            </w:pPr>
            <w:r w:rsidRPr="003B4B60">
              <w:rPr>
                <w:b w:val="0"/>
                <w:bCs w:val="0"/>
                <w:iCs/>
              </w:rPr>
              <w:t>The impact of assumptions on Safe Withdrawal Rates (SWRs)</w:t>
            </w:r>
          </w:p>
        </w:tc>
        <w:tc>
          <w:tcPr>
            <w:tcW w:w="1837" w:type="dxa"/>
          </w:tcPr>
          <w:p w14:paraId="129CC79C" w14:textId="55092D38" w:rsidR="003B4B60" w:rsidRDefault="003B4B60" w:rsidP="00266A3F">
            <w:pPr>
              <w:spacing w:line="360" w:lineRule="auto"/>
              <w:jc w:val="right"/>
              <w:cnfStyle w:val="000000100000" w:firstRow="0" w:lastRow="0" w:firstColumn="0" w:lastColumn="0" w:oddVBand="0" w:evenVBand="0" w:oddHBand="1" w:evenHBand="0" w:firstRowFirstColumn="0" w:firstRowLastColumn="0" w:lastRowFirstColumn="0" w:lastRowLastColumn="0"/>
              <w:rPr>
                <w:b/>
                <w:bCs/>
                <w:iCs/>
              </w:rPr>
            </w:pPr>
            <w:r w:rsidRPr="003B4B60">
              <w:rPr>
                <w:iCs/>
              </w:rPr>
              <w:t>10 min</w:t>
            </w:r>
          </w:p>
        </w:tc>
      </w:tr>
      <w:tr w:rsidR="003B4B60" w14:paraId="17A0FF41" w14:textId="77777777" w:rsidTr="00266A3F">
        <w:trPr>
          <w:trHeight w:val="292"/>
        </w:trPr>
        <w:tc>
          <w:tcPr>
            <w:cnfStyle w:val="001000000000" w:firstRow="0" w:lastRow="0" w:firstColumn="1" w:lastColumn="0" w:oddVBand="0" w:evenVBand="0" w:oddHBand="0" w:evenHBand="0" w:firstRowFirstColumn="0" w:firstRowLastColumn="0" w:lastRowFirstColumn="0" w:lastRowLastColumn="0"/>
            <w:tcW w:w="6745" w:type="dxa"/>
          </w:tcPr>
          <w:p w14:paraId="2799216F" w14:textId="1AFB56BB" w:rsidR="003B4B60" w:rsidRPr="003B4B60" w:rsidRDefault="003B4B60" w:rsidP="00266A3F">
            <w:pPr>
              <w:spacing w:line="360" w:lineRule="auto"/>
              <w:rPr>
                <w:b w:val="0"/>
                <w:bCs w:val="0"/>
                <w:iCs/>
              </w:rPr>
            </w:pPr>
            <w:r w:rsidRPr="003B4B60">
              <w:rPr>
                <w:b w:val="0"/>
                <w:bCs w:val="0"/>
                <w:iCs/>
              </w:rPr>
              <w:t>The impact of assumptions on Monte Carlo analysis</w:t>
            </w:r>
            <w:r w:rsidRPr="003B4B60">
              <w:rPr>
                <w:b w:val="0"/>
                <w:bCs w:val="0"/>
                <w:iCs/>
              </w:rPr>
              <w:tab/>
            </w:r>
          </w:p>
        </w:tc>
        <w:tc>
          <w:tcPr>
            <w:tcW w:w="1837" w:type="dxa"/>
          </w:tcPr>
          <w:p w14:paraId="38A47172" w14:textId="03BFC4B1" w:rsidR="003B4B60" w:rsidRPr="00266A3F" w:rsidRDefault="003B4B60" w:rsidP="00266A3F">
            <w:pPr>
              <w:spacing w:line="360" w:lineRule="auto"/>
              <w:jc w:val="right"/>
              <w:cnfStyle w:val="000000000000" w:firstRow="0" w:lastRow="0" w:firstColumn="0" w:lastColumn="0" w:oddVBand="0" w:evenVBand="0" w:oddHBand="0" w:evenHBand="0" w:firstRowFirstColumn="0" w:firstRowLastColumn="0" w:lastRowFirstColumn="0" w:lastRowLastColumn="0"/>
              <w:rPr>
                <w:iCs/>
              </w:rPr>
            </w:pPr>
            <w:r w:rsidRPr="00266A3F">
              <w:rPr>
                <w:iCs/>
              </w:rPr>
              <w:t>8 min</w:t>
            </w:r>
          </w:p>
        </w:tc>
      </w:tr>
      <w:tr w:rsidR="003B4B60" w14:paraId="0AE478FC" w14:textId="77777777" w:rsidTr="00266A3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6745" w:type="dxa"/>
          </w:tcPr>
          <w:p w14:paraId="166D161D" w14:textId="7C1030D4" w:rsidR="003B4B60" w:rsidRPr="003B4B60" w:rsidRDefault="003B4B60" w:rsidP="00266A3F">
            <w:pPr>
              <w:spacing w:line="360" w:lineRule="auto"/>
              <w:rPr>
                <w:b w:val="0"/>
                <w:bCs w:val="0"/>
                <w:iCs/>
              </w:rPr>
            </w:pPr>
            <w:r w:rsidRPr="003B4B60">
              <w:rPr>
                <w:b w:val="0"/>
                <w:bCs w:val="0"/>
                <w:iCs/>
              </w:rPr>
              <w:t>Planning implications</w:t>
            </w:r>
          </w:p>
        </w:tc>
        <w:tc>
          <w:tcPr>
            <w:tcW w:w="1837" w:type="dxa"/>
          </w:tcPr>
          <w:p w14:paraId="71F62488" w14:textId="3EF5AE2B" w:rsidR="003B4B60" w:rsidRDefault="003B4B60" w:rsidP="00266A3F">
            <w:pPr>
              <w:spacing w:line="360" w:lineRule="auto"/>
              <w:jc w:val="right"/>
              <w:cnfStyle w:val="000000100000" w:firstRow="0" w:lastRow="0" w:firstColumn="0" w:lastColumn="0" w:oddVBand="0" w:evenVBand="0" w:oddHBand="1" w:evenHBand="0" w:firstRowFirstColumn="0" w:firstRowLastColumn="0" w:lastRowFirstColumn="0" w:lastRowLastColumn="0"/>
              <w:rPr>
                <w:b/>
                <w:bCs/>
                <w:iCs/>
              </w:rPr>
            </w:pPr>
            <w:r>
              <w:t>10 min</w:t>
            </w:r>
          </w:p>
        </w:tc>
      </w:tr>
    </w:tbl>
    <w:bookmarkEnd w:id="1"/>
    <w:p w14:paraId="7F1276F1" w14:textId="4EF4E1E7" w:rsidR="009C1972" w:rsidRPr="00266A3F" w:rsidRDefault="00266A3F" w:rsidP="009C1972">
      <w:pPr>
        <w:rPr>
          <w:b/>
          <w:bCs/>
        </w:rPr>
      </w:pPr>
      <w:r>
        <w:tab/>
      </w:r>
      <w:r>
        <w:tab/>
      </w:r>
      <w:r>
        <w:tab/>
      </w:r>
      <w:r>
        <w:tab/>
      </w:r>
      <w:r>
        <w:tab/>
      </w:r>
      <w:r>
        <w:tab/>
      </w:r>
      <w:r>
        <w:tab/>
      </w:r>
      <w:r>
        <w:tab/>
      </w:r>
      <w:r>
        <w:tab/>
      </w:r>
      <w:r>
        <w:tab/>
      </w:r>
      <w:r w:rsidRPr="00266A3F">
        <w:rPr>
          <w:b/>
          <w:bCs/>
        </w:rPr>
        <w:t xml:space="preserve">          50 min</w:t>
      </w:r>
    </w:p>
    <w:sectPr w:rsidR="009C1972" w:rsidRPr="00266A3F" w:rsidSect="004D56A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55E2A" w14:textId="77777777" w:rsidR="007209A5" w:rsidRDefault="007209A5" w:rsidP="005F0F48">
      <w:r>
        <w:separator/>
      </w:r>
    </w:p>
  </w:endnote>
  <w:endnote w:type="continuationSeparator" w:id="0">
    <w:p w14:paraId="735D1039" w14:textId="77777777" w:rsidR="007209A5" w:rsidRDefault="007209A5" w:rsidP="005F0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3F7EC" w14:textId="77777777" w:rsidR="007209A5" w:rsidRDefault="007209A5" w:rsidP="005F0F48">
      <w:r>
        <w:separator/>
      </w:r>
    </w:p>
  </w:footnote>
  <w:footnote w:type="continuationSeparator" w:id="0">
    <w:p w14:paraId="39CCCD5D" w14:textId="77777777" w:rsidR="007209A5" w:rsidRDefault="007209A5" w:rsidP="005F0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B9FB5" w14:textId="0D360F59" w:rsidR="005F0F48" w:rsidRDefault="005F0F48" w:rsidP="00266A3F">
    <w:pPr>
      <w:pStyle w:val="Header"/>
      <w:jc w:val="center"/>
    </w:pPr>
    <w:r>
      <w:rPr>
        <w:noProof/>
      </w:rPr>
      <w:drawing>
        <wp:inline distT="0" distB="0" distL="0" distR="0" wp14:anchorId="4761C3F3" wp14:editId="6B5D6D73">
          <wp:extent cx="2306955" cy="67779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4099" cy="700456"/>
                  </a:xfrm>
                  <a:prstGeom prst="rect">
                    <a:avLst/>
                  </a:prstGeom>
                  <a:noFill/>
                  <a:ln>
                    <a:noFill/>
                  </a:ln>
                </pic:spPr>
              </pic:pic>
            </a:graphicData>
          </a:graphic>
        </wp:inline>
      </w:drawing>
    </w:r>
  </w:p>
  <w:p w14:paraId="51A06175" w14:textId="77777777" w:rsidR="005F0F48" w:rsidRDefault="005F0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8186E"/>
    <w:multiLevelType w:val="hybridMultilevel"/>
    <w:tmpl w:val="8EEEC578"/>
    <w:lvl w:ilvl="0" w:tplc="AE3C9F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B702A7"/>
    <w:multiLevelType w:val="hybridMultilevel"/>
    <w:tmpl w:val="03B0E408"/>
    <w:lvl w:ilvl="0" w:tplc="FA2E65D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3DC344B"/>
    <w:multiLevelType w:val="hybridMultilevel"/>
    <w:tmpl w:val="B6209646"/>
    <w:lvl w:ilvl="0" w:tplc="AE3C9F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072673">
    <w:abstractNumId w:val="1"/>
  </w:num>
  <w:num w:numId="2" w16cid:durableId="1214273218">
    <w:abstractNumId w:val="0"/>
  </w:num>
  <w:num w:numId="3" w16cid:durableId="1625497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7Q0MTE1Mzc0NbIwMDRV0lEKTi0uzszPAykwrAUAt8YErywAAAA="/>
  </w:docVars>
  <w:rsids>
    <w:rsidRoot w:val="007864A1"/>
    <w:rsid w:val="0003644B"/>
    <w:rsid w:val="001E705E"/>
    <w:rsid w:val="00266A3F"/>
    <w:rsid w:val="002A0BBB"/>
    <w:rsid w:val="003B4B60"/>
    <w:rsid w:val="003B4C0A"/>
    <w:rsid w:val="004D56A3"/>
    <w:rsid w:val="00564304"/>
    <w:rsid w:val="005F0F48"/>
    <w:rsid w:val="006536BD"/>
    <w:rsid w:val="00653BF0"/>
    <w:rsid w:val="00710DE0"/>
    <w:rsid w:val="007209A5"/>
    <w:rsid w:val="00724A23"/>
    <w:rsid w:val="007533FE"/>
    <w:rsid w:val="007864A1"/>
    <w:rsid w:val="00855588"/>
    <w:rsid w:val="008D60D5"/>
    <w:rsid w:val="009C1972"/>
    <w:rsid w:val="009C77F4"/>
    <w:rsid w:val="00AB508D"/>
    <w:rsid w:val="00B15ECD"/>
    <w:rsid w:val="00B5207E"/>
    <w:rsid w:val="00B81D2D"/>
    <w:rsid w:val="00CB22C0"/>
    <w:rsid w:val="00EE4DC2"/>
    <w:rsid w:val="00F1613E"/>
    <w:rsid w:val="00FC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F2E19"/>
  <w15:chartTrackingRefBased/>
  <w15:docId w15:val="{70A2F3B4-7E06-4EA0-B5E6-6E252767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864A1"/>
    <w:rPr>
      <w:color w:val="0000FF"/>
      <w:u w:val="single"/>
    </w:rPr>
  </w:style>
  <w:style w:type="character" w:customStyle="1" w:styleId="il">
    <w:name w:val="il"/>
    <w:basedOn w:val="DefaultParagraphFont"/>
    <w:rsid w:val="007864A1"/>
  </w:style>
  <w:style w:type="paragraph" w:styleId="ListParagraph">
    <w:name w:val="List Paragraph"/>
    <w:basedOn w:val="Normal"/>
    <w:uiPriority w:val="34"/>
    <w:qFormat/>
    <w:rsid w:val="007864A1"/>
    <w:pPr>
      <w:ind w:left="720"/>
      <w:contextualSpacing/>
    </w:pPr>
  </w:style>
  <w:style w:type="character" w:styleId="CommentReference">
    <w:name w:val="annotation reference"/>
    <w:basedOn w:val="DefaultParagraphFont"/>
    <w:uiPriority w:val="99"/>
    <w:semiHidden/>
    <w:unhideWhenUsed/>
    <w:rsid w:val="007533FE"/>
    <w:rPr>
      <w:sz w:val="16"/>
      <w:szCs w:val="16"/>
    </w:rPr>
  </w:style>
  <w:style w:type="paragraph" w:styleId="CommentText">
    <w:name w:val="annotation text"/>
    <w:basedOn w:val="Normal"/>
    <w:link w:val="CommentTextChar"/>
    <w:uiPriority w:val="99"/>
    <w:semiHidden/>
    <w:unhideWhenUsed/>
    <w:rsid w:val="007533FE"/>
    <w:rPr>
      <w:sz w:val="20"/>
      <w:szCs w:val="20"/>
    </w:rPr>
  </w:style>
  <w:style w:type="character" w:customStyle="1" w:styleId="CommentTextChar">
    <w:name w:val="Comment Text Char"/>
    <w:basedOn w:val="DefaultParagraphFont"/>
    <w:link w:val="CommentText"/>
    <w:uiPriority w:val="99"/>
    <w:semiHidden/>
    <w:rsid w:val="007533FE"/>
    <w:rPr>
      <w:sz w:val="20"/>
      <w:szCs w:val="20"/>
    </w:rPr>
  </w:style>
  <w:style w:type="paragraph" w:styleId="CommentSubject">
    <w:name w:val="annotation subject"/>
    <w:basedOn w:val="CommentText"/>
    <w:next w:val="CommentText"/>
    <w:link w:val="CommentSubjectChar"/>
    <w:uiPriority w:val="99"/>
    <w:semiHidden/>
    <w:unhideWhenUsed/>
    <w:rsid w:val="007533FE"/>
    <w:rPr>
      <w:b/>
      <w:bCs/>
    </w:rPr>
  </w:style>
  <w:style w:type="character" w:customStyle="1" w:styleId="CommentSubjectChar">
    <w:name w:val="Comment Subject Char"/>
    <w:basedOn w:val="CommentTextChar"/>
    <w:link w:val="CommentSubject"/>
    <w:uiPriority w:val="99"/>
    <w:semiHidden/>
    <w:rsid w:val="007533FE"/>
    <w:rPr>
      <w:b/>
      <w:bCs/>
      <w:sz w:val="20"/>
      <w:szCs w:val="20"/>
    </w:rPr>
  </w:style>
  <w:style w:type="paragraph" w:styleId="BalloonText">
    <w:name w:val="Balloon Text"/>
    <w:basedOn w:val="Normal"/>
    <w:link w:val="BalloonTextChar"/>
    <w:uiPriority w:val="99"/>
    <w:semiHidden/>
    <w:unhideWhenUsed/>
    <w:rsid w:val="007533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33FE"/>
    <w:rPr>
      <w:rFonts w:ascii="Segoe UI" w:hAnsi="Segoe UI" w:cs="Segoe UI"/>
      <w:sz w:val="18"/>
      <w:szCs w:val="18"/>
    </w:rPr>
  </w:style>
  <w:style w:type="paragraph" w:styleId="Header">
    <w:name w:val="header"/>
    <w:basedOn w:val="Normal"/>
    <w:link w:val="HeaderChar"/>
    <w:uiPriority w:val="99"/>
    <w:unhideWhenUsed/>
    <w:rsid w:val="005F0F48"/>
    <w:pPr>
      <w:tabs>
        <w:tab w:val="center" w:pos="4680"/>
        <w:tab w:val="right" w:pos="9360"/>
      </w:tabs>
    </w:pPr>
  </w:style>
  <w:style w:type="character" w:customStyle="1" w:styleId="HeaderChar">
    <w:name w:val="Header Char"/>
    <w:basedOn w:val="DefaultParagraphFont"/>
    <w:link w:val="Header"/>
    <w:uiPriority w:val="99"/>
    <w:rsid w:val="005F0F48"/>
  </w:style>
  <w:style w:type="paragraph" w:styleId="Footer">
    <w:name w:val="footer"/>
    <w:basedOn w:val="Normal"/>
    <w:link w:val="FooterChar"/>
    <w:uiPriority w:val="99"/>
    <w:unhideWhenUsed/>
    <w:rsid w:val="005F0F48"/>
    <w:pPr>
      <w:tabs>
        <w:tab w:val="center" w:pos="4680"/>
        <w:tab w:val="right" w:pos="9360"/>
      </w:tabs>
    </w:pPr>
  </w:style>
  <w:style w:type="character" w:customStyle="1" w:styleId="FooterChar">
    <w:name w:val="Footer Char"/>
    <w:basedOn w:val="DefaultParagraphFont"/>
    <w:link w:val="Footer"/>
    <w:uiPriority w:val="99"/>
    <w:rsid w:val="005F0F48"/>
  </w:style>
  <w:style w:type="table" w:styleId="TableGrid">
    <w:name w:val="Table Grid"/>
    <w:basedOn w:val="TableNormal"/>
    <w:uiPriority w:val="39"/>
    <w:rsid w:val="003B4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B4B6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9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98462A-0FB5-4C0A-A86A-50D3D615E746}">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5F9CCF2A-9101-4340-8A2A-19A33D1442A9}">
  <ds:schemaRefs>
    <ds:schemaRef ds:uri="http://schemas.microsoft.com/sharepoint/v3/contenttype/forms"/>
  </ds:schemaRefs>
</ds:datastoreItem>
</file>

<file path=customXml/itemProps3.xml><?xml version="1.0" encoding="utf-8"?>
<ds:datastoreItem xmlns:ds="http://schemas.openxmlformats.org/officeDocument/2006/customXml" ds:itemID="{6FEF676A-36CB-4621-B1E6-6641AA74B047}"/>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Tharp</dc:creator>
  <cp:keywords/>
  <dc:description/>
  <cp:lastModifiedBy>Paula Frey</cp:lastModifiedBy>
  <cp:revision>2</cp:revision>
  <cp:lastPrinted>2021-03-18T20:34:00Z</cp:lastPrinted>
  <dcterms:created xsi:type="dcterms:W3CDTF">2023-08-09T19:36:00Z</dcterms:created>
  <dcterms:modified xsi:type="dcterms:W3CDTF">2023-08-09T19:36:00Z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1901800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