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8B647D" w:rsidP="008B647D" w:rsidRDefault="008B647D" w14:paraId="7A4A3A55" w14:textId="77777777">
      <w:r w:rsidRPr="00DB78C1">
        <w:rPr>
          <w:i/>
        </w:rPr>
        <w:t xml:space="preserve">Presentation: </w:t>
      </w:r>
      <w:r w:rsidRPr="00DB78C1">
        <w:rPr>
          <w:i/>
        </w:rPr>
        <w:br/>
      </w:r>
      <w:r w:rsidRPr="003A3312" w:rsidR="003A3312">
        <w:t>Everything You Ever Wanted to Know About Lifetime RMDs... And More</w:t>
      </w:r>
    </w:p>
    <w:p w:rsidRPr="0083149F" w:rsidR="008B647D" w:rsidP="008B647D" w:rsidRDefault="008B647D" w14:paraId="672A6659" w14:textId="77777777"/>
    <w:p w:rsidR="5C10210F" w:rsidP="5C10210F" w:rsidRDefault="5C10210F" w14:paraId="3CF33DC1" w14:textId="5448B4D1">
      <w:pPr>
        <w:rPr>
          <w:color w:val="000000" w:themeColor="text1"/>
          <w:sz w:val="22"/>
          <w:szCs w:val="22"/>
        </w:rPr>
      </w:pPr>
      <w:r w:rsidRPr="55ACF47C" w:rsidR="5C10210F">
        <w:rPr>
          <w:i w:val="1"/>
          <w:iCs w:val="1"/>
          <w:color w:val="000000" w:themeColor="text1" w:themeTint="FF" w:themeShade="FF"/>
        </w:rPr>
        <w:t xml:space="preserve">Presenter: </w:t>
      </w:r>
      <w:r>
        <w:br/>
      </w:r>
      <w:r w:rsidRPr="55ACF47C" w:rsidR="5C10210F">
        <w:rPr>
          <w:i w:val="1"/>
          <w:iCs w:val="1"/>
          <w:color w:val="000000" w:themeColor="text1" w:themeTint="FF" w:themeShade="FF"/>
        </w:rPr>
        <w:t>Jeffrey Levine, CPA/PFS, CFP</w:t>
      </w:r>
      <w:r w:rsidRPr="55ACF47C" w:rsidR="5C10210F">
        <w:rPr>
          <w:color w:val="000000" w:themeColor="text1" w:themeTint="FF" w:themeShade="FF"/>
          <w:sz w:val="22"/>
          <w:szCs w:val="22"/>
          <w:vertAlign w:val="superscript"/>
        </w:rPr>
        <w:t>®</w:t>
      </w:r>
      <w:r w:rsidRPr="55ACF47C" w:rsidR="5C10210F">
        <w:rPr>
          <w:color w:val="000000" w:themeColor="text1" w:themeTint="FF" w:themeShade="FF"/>
          <w:sz w:val="22"/>
          <w:szCs w:val="22"/>
        </w:rPr>
        <w:t>, CWS</w:t>
      </w:r>
      <w:r w:rsidRPr="55ACF47C" w:rsidR="5C10210F">
        <w:rPr>
          <w:color w:val="000000" w:themeColor="text1" w:themeTint="FF" w:themeShade="FF"/>
          <w:sz w:val="22"/>
          <w:szCs w:val="22"/>
          <w:vertAlign w:val="superscript"/>
        </w:rPr>
        <w:t>®</w:t>
      </w:r>
      <w:r w:rsidRPr="55ACF47C" w:rsidR="5C10210F">
        <w:rPr>
          <w:color w:val="000000" w:themeColor="text1" w:themeTint="FF" w:themeShade="FF"/>
          <w:sz w:val="22"/>
          <w:szCs w:val="22"/>
        </w:rPr>
        <w:t>, BFA</w:t>
      </w:r>
      <w:r w:rsidRPr="55ACF47C" w:rsidR="5C10210F">
        <w:rPr>
          <w:color w:val="000000" w:themeColor="text1" w:themeTint="FF" w:themeShade="FF"/>
          <w:sz w:val="22"/>
          <w:szCs w:val="22"/>
          <w:vertAlign w:val="superscript"/>
        </w:rPr>
        <w:t>®</w:t>
      </w:r>
      <w:r w:rsidRPr="55ACF47C" w:rsidR="5C10210F">
        <w:rPr>
          <w:color w:val="000000" w:themeColor="text1" w:themeTint="FF" w:themeShade="FF"/>
          <w:sz w:val="22"/>
          <w:szCs w:val="22"/>
        </w:rPr>
        <w:t>, MSA is the Lead Financial Planning Nerd for</w:t>
      </w:r>
      <w:r w:rsidRPr="55ACF47C" w:rsidR="5C10210F">
        <w:rPr>
          <w:color w:val="333333"/>
          <w:sz w:val="22"/>
          <w:szCs w:val="22"/>
        </w:rPr>
        <w:t> </w:t>
      </w:r>
      <w:hyperlink r:id="R877691fc05994784">
        <w:r w:rsidRPr="55ACF47C" w:rsidR="5C10210F">
          <w:rPr>
            <w:rStyle w:val="Hyperlink"/>
            <w:sz w:val="22"/>
            <w:szCs w:val="22"/>
          </w:rPr>
          <w:t>Kitces.com</w:t>
        </w:r>
      </w:hyperlink>
      <w:r w:rsidRPr="55ACF47C" w:rsidR="5C10210F">
        <w:rPr>
          <w:color w:val="333333"/>
          <w:sz w:val="22"/>
          <w:szCs w:val="22"/>
        </w:rPr>
        <w:t xml:space="preserve"> and the Chief Planning Officer </w:t>
      </w:r>
      <w:r w:rsidRPr="55ACF47C" w:rsidR="5C10210F">
        <w:rPr>
          <w:color w:val="000000" w:themeColor="text1" w:themeTint="FF" w:themeShade="FF"/>
          <w:sz w:val="22"/>
          <w:szCs w:val="22"/>
        </w:rPr>
        <w:t xml:space="preserve">at </w:t>
      </w:r>
      <w:hyperlink r:id="R88f4335031034f50">
        <w:r w:rsidRPr="55ACF47C" w:rsidR="4FA234ED">
          <w:rPr>
            <w:rStyle w:val="Hyperlink"/>
            <w:sz w:val="22"/>
            <w:szCs w:val="22"/>
          </w:rPr>
          <w:t>Focus</w:t>
        </w:r>
        <w:r w:rsidRPr="55ACF47C" w:rsidR="5C10210F">
          <w:rPr>
            <w:rStyle w:val="Hyperlink"/>
            <w:sz w:val="22"/>
            <w:szCs w:val="22"/>
          </w:rPr>
          <w:t xml:space="preserve"> Wealth Partners</w:t>
        </w:r>
      </w:hyperlink>
      <w:r w:rsidRPr="55ACF47C" w:rsidR="5C10210F">
        <w:rPr>
          <w:color w:val="000000" w:themeColor="text1" w:themeTint="FF" w:themeShade="FF"/>
          <w:sz w:val="22"/>
          <w:szCs w:val="22"/>
        </w:rPr>
        <w:t xml:space="preserve">. In 2020, Mr. Levine was named by Investment Advisor Magazine as one of the top 25 voices to turn to during uncertain </w:t>
      </w:r>
      <w:r w:rsidRPr="55ACF47C" w:rsidR="5C10210F">
        <w:rPr>
          <w:color w:val="000000" w:themeColor="text1" w:themeTint="FF" w:themeShade="FF"/>
          <w:sz w:val="22"/>
          <w:szCs w:val="22"/>
        </w:rPr>
        <w:t>times, and</w:t>
      </w:r>
      <w:r w:rsidRPr="55ACF47C" w:rsidR="5C10210F">
        <w:rPr>
          <w:color w:val="000000" w:themeColor="text1" w:themeTint="FF" w:themeShade="FF"/>
          <w:sz w:val="22"/>
          <w:szCs w:val="22"/>
        </w:rPr>
        <w:t xml:space="preserve"> was named to the IA25 again in 2021. Jeff is a past recipient of the</w:t>
      </w:r>
      <w:r w:rsidRPr="55ACF47C" w:rsidR="5C10210F">
        <w:rPr>
          <w:color w:val="333333"/>
          <w:sz w:val="22"/>
          <w:szCs w:val="22"/>
        </w:rPr>
        <w:t> </w:t>
      </w:r>
      <w:hyperlink r:id="R74775af06ba44f22">
        <w:r w:rsidRPr="55ACF47C" w:rsidR="5C10210F">
          <w:rPr>
            <w:rStyle w:val="Hyperlink"/>
            <w:sz w:val="22"/>
            <w:szCs w:val="22"/>
          </w:rPr>
          <w:t>Standing Ovation award</w:t>
        </w:r>
      </w:hyperlink>
      <w:r w:rsidRPr="55ACF47C" w:rsidR="5C10210F">
        <w:rPr>
          <w:color w:val="333333"/>
          <w:sz w:val="22"/>
          <w:szCs w:val="22"/>
        </w:rPr>
        <w:t xml:space="preserve">, </w:t>
      </w:r>
      <w:r w:rsidRPr="55ACF47C" w:rsidR="5C10210F">
        <w:rPr>
          <w:color w:val="000000" w:themeColor="text1" w:themeTint="FF" w:themeShade="FF"/>
          <w:sz w:val="22"/>
          <w:szCs w:val="22"/>
        </w:rPr>
        <w:t>presented by the AICPA Financial Planning Division, was named to the</w:t>
      </w:r>
      <w:r w:rsidRPr="55ACF47C" w:rsidR="5C10210F">
        <w:rPr>
          <w:color w:val="333333"/>
          <w:sz w:val="22"/>
          <w:szCs w:val="22"/>
        </w:rPr>
        <w:t> </w:t>
      </w:r>
      <w:hyperlink r:id="Rf8add3a30d774ce3">
        <w:r w:rsidRPr="55ACF47C" w:rsidR="5C10210F">
          <w:rPr>
            <w:rStyle w:val="Hyperlink"/>
            <w:sz w:val="22"/>
            <w:szCs w:val="22"/>
          </w:rPr>
          <w:t>2017 class of 40 Under 40</w:t>
        </w:r>
      </w:hyperlink>
      <w:r w:rsidRPr="55ACF47C" w:rsidR="5C10210F">
        <w:rPr>
          <w:color w:val="333333"/>
          <w:sz w:val="22"/>
          <w:szCs w:val="22"/>
        </w:rPr>
        <w:t> </w:t>
      </w:r>
      <w:r w:rsidRPr="55ACF47C" w:rsidR="5C10210F">
        <w:rPr>
          <w:color w:val="000000" w:themeColor="text1" w:themeTint="FF" w:themeShade="FF"/>
          <w:sz w:val="22"/>
          <w:szCs w:val="22"/>
        </w:rPr>
        <w:t xml:space="preserve">by </w:t>
      </w:r>
      <w:r w:rsidRPr="55ACF47C" w:rsidR="5C10210F">
        <w:rPr>
          <w:color w:val="000000" w:themeColor="text1" w:themeTint="FF" w:themeShade="FF"/>
          <w:sz w:val="22"/>
          <w:szCs w:val="22"/>
        </w:rPr>
        <w:t>InvestmentNews</w:t>
      </w:r>
      <w:r w:rsidRPr="55ACF47C" w:rsidR="5C10210F">
        <w:rPr>
          <w:color w:val="000000" w:themeColor="text1" w:themeTint="FF" w:themeShade="FF"/>
          <w:sz w:val="22"/>
          <w:szCs w:val="22"/>
        </w:rPr>
        <w:t>,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55ACF47C" w:rsidR="5C10210F">
        <w:rPr>
          <w:color w:val="333333"/>
          <w:sz w:val="22"/>
          <w:szCs w:val="22"/>
        </w:rPr>
        <w:t> </w:t>
      </w:r>
      <w:hyperlink r:id="R1115a1b0f8974a49">
        <w:r w:rsidRPr="55ACF47C" w:rsidR="5C10210F">
          <w:rPr>
            <w:rStyle w:val="Hyperlink"/>
            <w:sz w:val="22"/>
            <w:szCs w:val="22"/>
          </w:rPr>
          <w:t>@CPAPlanner</w:t>
        </w:r>
      </w:hyperlink>
      <w:r w:rsidRPr="55ACF47C" w:rsidR="5C10210F">
        <w:rPr>
          <w:color w:val="333333"/>
          <w:sz w:val="22"/>
          <w:szCs w:val="22"/>
        </w:rPr>
        <w:t xml:space="preserve">, where he is known to break down the latest tax updates in GIF-filled tweets storms, </w:t>
      </w:r>
      <w:r w:rsidRPr="55ACF47C" w:rsidR="5C10210F">
        <w:rPr>
          <w:color w:val="000000" w:themeColor="text1" w:themeTint="FF" w:themeShade="FF"/>
          <w:sz w:val="22"/>
          <w:szCs w:val="22"/>
        </w:rPr>
        <w:t xml:space="preserve">and via his personal website, </w:t>
      </w:r>
      <w:hyperlink r:id="Ra569fbe4fe684f28">
        <w:r w:rsidRPr="55ACF47C" w:rsidR="5C10210F">
          <w:rPr>
            <w:rStyle w:val="Hyperlink"/>
            <w:sz w:val="22"/>
            <w:szCs w:val="22"/>
          </w:rPr>
          <w:t>www.FullyVestedAdvice.com</w:t>
        </w:r>
      </w:hyperlink>
      <w:r w:rsidRPr="55ACF47C" w:rsidR="5C10210F">
        <w:rPr>
          <w:color w:val="000000" w:themeColor="text1" w:themeTint="FF" w:themeShade="FF"/>
          <w:sz w:val="22"/>
          <w:szCs w:val="22"/>
        </w:rPr>
        <w:t>.</w:t>
      </w:r>
    </w:p>
    <w:p w:rsidR="5C10210F" w:rsidP="5C10210F" w:rsidRDefault="5C10210F" w14:paraId="258597F9" w14:textId="3C2902AB"/>
    <w:p w:rsidRPr="0083149F" w:rsidR="001E7837" w:rsidP="00147352" w:rsidRDefault="001E7837" w14:paraId="0A37501D" w14:textId="77777777"/>
    <w:p w:rsidRPr="00DB78C1" w:rsidR="008B647D" w:rsidP="008B647D" w:rsidRDefault="008B647D" w14:paraId="116B1A29" w14:textId="77777777">
      <w:pPr>
        <w:rPr>
          <w:i/>
        </w:rPr>
      </w:pPr>
      <w:r w:rsidRPr="00DB78C1">
        <w:rPr>
          <w:i/>
        </w:rPr>
        <w:t>Session Description:</w:t>
      </w:r>
    </w:p>
    <w:p w:rsidR="003A3312" w:rsidP="008B647D" w:rsidRDefault="0051424A" w14:paraId="2B8C61CE" w14:textId="77777777">
      <w:r w:rsidRPr="0051424A">
        <w:t>A sound understanding of the RMD rules by advisors is a necessity, as RMDs are one aspect of retirement distribution planning that impacts nearly all clients at one point or another. Add to that the mass of Baby Boomers – the oldest of which are now in their 70s – who need RMD help and it’s easy to see a golden opportunity awaits the educated advisor. Sadly though, evidence shows that most advisors vastly overestimate their knowledge of core RMD rules, which can lead to disastrous consequences. In this program, advisors will learn about RMDs from the “ground up” to ensure they can give sound advice for years to come. Special focus will be paid to the intricacies and nuances of this deceivingly complex aspect of the law so that advisors can help clients correct mistakes that have already occurred and avoid others before they even happen.</w:t>
      </w:r>
    </w:p>
    <w:p w:rsidR="0051424A" w:rsidP="008B647D" w:rsidRDefault="0051424A" w14:paraId="5DAB6C7B" w14:textId="77777777"/>
    <w:p w:rsidR="00147352" w:rsidP="00147352" w:rsidRDefault="00147352" w14:paraId="0531BC1C" w14:textId="77777777">
      <w:r>
        <w:rPr>
          <w:i/>
        </w:rPr>
        <w:t>Learning Objectives:</w:t>
      </w:r>
    </w:p>
    <w:p w:rsidR="003A3312" w:rsidP="003A3312" w:rsidRDefault="003A3312" w14:paraId="4594FEDD" w14:textId="77777777">
      <w:pPr>
        <w:numPr>
          <w:ilvl w:val="0"/>
          <w:numId w:val="2"/>
        </w:numPr>
      </w:pPr>
      <w:r>
        <w:t xml:space="preserve">Understand the correct way to calculate required minimum </w:t>
      </w:r>
      <w:proofErr w:type="gramStart"/>
      <w:r>
        <w:t>distributions</w:t>
      </w:r>
      <w:proofErr w:type="gramEnd"/>
    </w:p>
    <w:p w:rsidR="003A3312" w:rsidP="003A3312" w:rsidRDefault="003A3312" w14:paraId="02EB378F" w14:textId="77777777">
      <w:pPr>
        <w:ind w:left="900" w:hanging="900"/>
      </w:pPr>
    </w:p>
    <w:p w:rsidR="003A3312" w:rsidP="003A3312" w:rsidRDefault="003A3312" w14:paraId="2D23E70B" w14:textId="77777777">
      <w:pPr>
        <w:numPr>
          <w:ilvl w:val="0"/>
          <w:numId w:val="2"/>
        </w:numPr>
      </w:pPr>
      <w:r>
        <w:t xml:space="preserve">Explore common mistakes errors made by advisors and </w:t>
      </w:r>
      <w:proofErr w:type="gramStart"/>
      <w:r>
        <w:t>clients</w:t>
      </w:r>
      <w:proofErr w:type="gramEnd"/>
    </w:p>
    <w:p w:rsidR="003A3312" w:rsidP="003A3312" w:rsidRDefault="003A3312" w14:paraId="6A05A809" w14:textId="77777777">
      <w:pPr>
        <w:ind w:left="900" w:hanging="900"/>
      </w:pPr>
    </w:p>
    <w:p w:rsidR="00147352" w:rsidP="003A3312" w:rsidRDefault="003A3312" w14:paraId="51F28FC7" w14:textId="77777777">
      <w:pPr>
        <w:numPr>
          <w:ilvl w:val="0"/>
          <w:numId w:val="2"/>
        </w:numPr>
      </w:pPr>
      <w:r>
        <w:t xml:space="preserve">Identify existing RMD mistakes so that corrective action can be </w:t>
      </w:r>
      <w:proofErr w:type="gramStart"/>
      <w:r>
        <w:t>taken</w:t>
      </w:r>
      <w:proofErr w:type="gramEnd"/>
      <w:r w:rsidR="008436DE">
        <w:t xml:space="preserve"> </w:t>
      </w:r>
    </w:p>
    <w:p w:rsidR="003A3312" w:rsidP="003A3312" w:rsidRDefault="003A3312" w14:paraId="5A39BBE3" w14:textId="77777777">
      <w:pPr>
        <w:pStyle w:val="ListParagraph"/>
      </w:pPr>
    </w:p>
    <w:p w:rsidR="003A3312" w:rsidP="003A3312" w:rsidRDefault="003A3312" w14:paraId="7B8F6B83" w14:textId="77777777">
      <w:pPr>
        <w:numPr>
          <w:ilvl w:val="0"/>
          <w:numId w:val="2"/>
        </w:numPr>
      </w:pPr>
      <w:r>
        <w:t xml:space="preserve">Learn strategies to minimize the impact of </w:t>
      </w:r>
      <w:proofErr w:type="gramStart"/>
      <w:r>
        <w:t>RMDs</w:t>
      </w:r>
      <w:proofErr w:type="gramEnd"/>
    </w:p>
    <w:p w:rsidR="008436DE" w:rsidP="008436DE" w:rsidRDefault="008436DE" w14:paraId="41C8F396" w14:textId="77777777">
      <w:pPr>
        <w:ind w:left="900" w:hanging="900"/>
      </w:pPr>
    </w:p>
    <w:p w:rsidRPr="00886F9D" w:rsidR="00147352" w:rsidP="00147352" w:rsidRDefault="00147352" w14:paraId="27041862" w14:textId="77777777">
      <w:pPr>
        <w:rPr>
          <w:i/>
        </w:rPr>
      </w:pPr>
      <w:r>
        <w:rPr>
          <w:i/>
        </w:rPr>
        <w:t>Level of Complexity:</w:t>
      </w:r>
    </w:p>
    <w:p w:rsidR="00147352" w:rsidP="00147352" w:rsidRDefault="00147352" w14:paraId="2D111951" w14:textId="77777777">
      <w:r>
        <w:t xml:space="preserve">- </w:t>
      </w:r>
      <w:r w:rsidR="00BD1F06">
        <w:t xml:space="preserve">&lt; Beginner / Intermediate / </w:t>
      </w:r>
      <w:r w:rsidRPr="003A3312">
        <w:rPr>
          <w:highlight w:val="yellow"/>
        </w:rPr>
        <w:t>Advanced</w:t>
      </w:r>
      <w:r w:rsidR="00BD1F06">
        <w:t>&gt;</w:t>
      </w:r>
    </w:p>
    <w:p w:rsidR="00147352" w:rsidP="00147352" w:rsidRDefault="00147352" w14:paraId="72A3D3EC" w14:textId="77777777"/>
    <w:p w:rsidR="00147352" w:rsidP="00147352" w:rsidRDefault="00147352" w14:paraId="44ECB684" w14:textId="77777777">
      <w:r>
        <w:rPr>
          <w:i/>
        </w:rPr>
        <w:t>Topic Area(s):</w:t>
      </w:r>
    </w:p>
    <w:p w:rsidRPr="00886F9D" w:rsidR="00147352" w:rsidP="00147352" w:rsidRDefault="00147352" w14:paraId="178AE646" w14:textId="77777777">
      <w:r>
        <w:t xml:space="preserve">- </w:t>
      </w:r>
      <w:r w:rsidR="00BD1F06">
        <w:t xml:space="preserve">&lt; </w:t>
      </w:r>
      <w:r w:rsidRPr="003A3312" w:rsidR="00BD1F06">
        <w:rPr>
          <w:highlight w:val="yellow"/>
        </w:rPr>
        <w:t>General Principles of Financial Planning</w:t>
      </w:r>
      <w:r w:rsidR="00BD1F06">
        <w:t xml:space="preserve"> / Insurance Planning / Investment Planning / </w:t>
      </w:r>
      <w:r w:rsidRPr="003A3312" w:rsidR="00BD1F06">
        <w:rPr>
          <w:highlight w:val="yellow"/>
        </w:rPr>
        <w:t xml:space="preserve">Income Tax Planning / </w:t>
      </w:r>
      <w:r w:rsidRPr="003A3312">
        <w:rPr>
          <w:highlight w:val="yellow"/>
        </w:rPr>
        <w:t>Retirement Planning</w:t>
      </w:r>
      <w:r w:rsidR="00BD1F06">
        <w:t xml:space="preserve"> / Estate Planning / Client Trust &amp; Communication &gt;</w:t>
      </w:r>
    </w:p>
    <w:p w:rsidR="00147352" w:rsidP="00147352" w:rsidRDefault="00147352" w14:paraId="0D0B940D" w14:textId="77777777"/>
    <w:p w:rsidRPr="00886F9D" w:rsidR="00147352" w:rsidP="00147352" w:rsidRDefault="00147352" w14:paraId="713235D8" w14:textId="77777777">
      <w:pPr>
        <w:rPr>
          <w:i/>
        </w:rPr>
      </w:pPr>
      <w:r>
        <w:rPr>
          <w:i/>
        </w:rPr>
        <w:t>Hour(s) of CE:</w:t>
      </w:r>
    </w:p>
    <w:p w:rsidR="00147352" w:rsidP="00147352" w:rsidRDefault="00147352" w14:paraId="3F85E605" w14:textId="77777777">
      <w:r>
        <w:t xml:space="preserve">- </w:t>
      </w:r>
      <w:r w:rsidR="00BD1F06">
        <w:t xml:space="preserve">&lt; </w:t>
      </w:r>
      <w:r w:rsidRPr="003A3312" w:rsidR="00BD1F06">
        <w:rPr>
          <w:highlight w:val="yellow"/>
        </w:rPr>
        <w:t>1 hour</w:t>
      </w:r>
      <w:r w:rsidR="00BD1F06">
        <w:t xml:space="preserve"> / 1.5 hours / 2 hours &gt;</w:t>
      </w:r>
    </w:p>
    <w:p w:rsidR="00147352" w:rsidP="008B647D" w:rsidRDefault="00147352" w14:paraId="0E27B00A" w14:textId="77777777"/>
    <w:p w:rsidRPr="00147352" w:rsidR="005E7A5D" w:rsidRDefault="00147352" w14:paraId="01B6B41B" w14:textId="77777777">
      <w:pPr>
        <w:rPr>
          <w:i/>
        </w:rPr>
      </w:pPr>
      <w:r>
        <w:rPr>
          <w:i/>
        </w:rPr>
        <w:br w:type="page"/>
      </w:r>
      <w:r>
        <w:rPr>
          <w:i/>
        </w:rPr>
        <w:lastRenderedPageBreak/>
        <w:t>Outline:</w:t>
      </w:r>
    </w:p>
    <w:p w:rsidR="003A3312" w:rsidP="003A3312" w:rsidRDefault="003A3312" w14:paraId="74044AED" w14:textId="77777777">
      <w:pPr>
        <w:pStyle w:val="NoSpacing"/>
        <w:rPr>
          <w:rFonts w:ascii="Times New Roman" w:hAnsi="Times New Roman"/>
          <w:szCs w:val="24"/>
        </w:rPr>
      </w:pPr>
      <w:r w:rsidRPr="00256512">
        <w:rPr>
          <w:rFonts w:ascii="Times New Roman" w:hAnsi="Times New Roman"/>
          <w:szCs w:val="24"/>
        </w:rPr>
        <w:t>The Required Beginning Date</w:t>
      </w:r>
      <w:r>
        <w:rPr>
          <w:rFonts w:ascii="Times New Roman" w:hAnsi="Times New Roman"/>
          <w:szCs w:val="24"/>
        </w:rPr>
        <w:t xml:space="preserve"> and Exceptions to the Rule...............................................5 Minutes</w:t>
      </w:r>
    </w:p>
    <w:p w:rsidRPr="00256512" w:rsidR="003A3312" w:rsidP="003A3312" w:rsidRDefault="003A3312" w14:paraId="60061E4C" w14:textId="77777777">
      <w:pPr>
        <w:pStyle w:val="NoSpacing"/>
        <w:rPr>
          <w:rFonts w:ascii="Times New Roman" w:hAnsi="Times New Roman"/>
          <w:szCs w:val="24"/>
        </w:rPr>
      </w:pPr>
    </w:p>
    <w:p w:rsidRPr="00453769" w:rsidR="003A3312" w:rsidP="003A3312" w:rsidRDefault="003A3312" w14:paraId="5B722EDA" w14:textId="77777777">
      <w:r>
        <w:t xml:space="preserve">Calculating </w:t>
      </w:r>
      <w:r w:rsidRPr="00453769">
        <w:t>Required Minimum Distributions…Way More Than Meets the Eye</w:t>
      </w:r>
    </w:p>
    <w:p w:rsidRPr="00077789" w:rsidR="003A3312" w:rsidP="003A3312" w:rsidRDefault="003A3312" w14:paraId="47A4FF63" w14:textId="77777777">
      <w:pPr>
        <w:ind w:firstLine="720"/>
      </w:pPr>
      <w:r w:rsidRPr="00077789">
        <w:t>Selecting the Right Life Expectancy Factor........................</w:t>
      </w:r>
      <w:r>
        <w:t>....................</w:t>
      </w:r>
      <w:r w:rsidRPr="00077789">
        <w:t>..............5 Minutes</w:t>
      </w:r>
      <w:r>
        <w:tab/>
      </w:r>
      <w:r w:rsidRPr="00077789">
        <w:t>Determining the Correct Prior Year-End Balance..........</w:t>
      </w:r>
      <w:r>
        <w:t>............................</w:t>
      </w:r>
      <w:r w:rsidRPr="00077789">
        <w:t>.........10 Minutes</w:t>
      </w:r>
    </w:p>
    <w:p w:rsidR="003A3312" w:rsidP="003A3312" w:rsidRDefault="003A3312" w14:paraId="44EAFD9C" w14:textId="77777777"/>
    <w:p w:rsidRPr="00077789" w:rsidR="003A3312" w:rsidP="003A3312" w:rsidRDefault="003A3312" w14:paraId="2ABB49F3" w14:textId="77777777">
      <w:r>
        <w:t xml:space="preserve">Avoiding </w:t>
      </w:r>
      <w:r w:rsidRPr="00077789">
        <w:t>First Year RMD Confusion</w:t>
      </w:r>
      <w:r>
        <w:t>...............................................................................5 Minutes</w:t>
      </w:r>
    </w:p>
    <w:p w:rsidR="003A3312" w:rsidP="003A3312" w:rsidRDefault="003A3312" w14:paraId="4B94D5A5" w14:textId="77777777"/>
    <w:p w:rsidRPr="00077789" w:rsidR="003A3312" w:rsidP="003A3312" w:rsidRDefault="003A3312" w14:paraId="33410BAD" w14:textId="77777777">
      <w:r w:rsidRPr="00077789">
        <w:t>RMD Aggregation Across Multiple Retirement Accounts</w:t>
      </w:r>
      <w:r>
        <w:t>................................................5 Minutes</w:t>
      </w:r>
    </w:p>
    <w:p w:rsidR="003A3312" w:rsidP="003A3312" w:rsidRDefault="003A3312" w14:paraId="3DEEC669" w14:textId="77777777"/>
    <w:p w:rsidR="003A3312" w:rsidP="003A3312" w:rsidRDefault="003A3312" w14:paraId="4837FC83" w14:textId="77777777">
      <w:r>
        <w:t>Qualifying Longevity Annuity Contracts..........................................................................5 Minutes</w:t>
      </w:r>
    </w:p>
    <w:p w:rsidR="003A3312" w:rsidP="003A3312" w:rsidRDefault="003A3312" w14:paraId="3656B9AB" w14:textId="77777777"/>
    <w:p w:rsidRPr="00077789" w:rsidR="003A3312" w:rsidP="003A3312" w:rsidRDefault="003A3312" w14:paraId="546294CF" w14:textId="77777777">
      <w:r w:rsidRPr="00077789">
        <w:t>Qualified Charitable Distributions</w:t>
      </w:r>
      <w:r>
        <w:t>.....................................................................................5 Minutes</w:t>
      </w:r>
    </w:p>
    <w:p w:rsidR="003A3312" w:rsidP="003A3312" w:rsidRDefault="003A3312" w14:paraId="45FB0818" w14:textId="77777777"/>
    <w:p w:rsidR="003A3312" w:rsidP="003A3312" w:rsidRDefault="003A3312" w14:paraId="4D47D1CF" w14:textId="77777777">
      <w:r w:rsidRPr="00077789">
        <w:t>Correcting a Missed RMD</w:t>
      </w:r>
      <w:r>
        <w:t>/Requesting a Waiver of the 50% Penalty...............................5 Minutes</w:t>
      </w:r>
    </w:p>
    <w:p w:rsidR="003A3312" w:rsidP="003A3312" w:rsidRDefault="003A3312" w14:paraId="049F31CB" w14:textId="77777777"/>
    <w:p w:rsidR="003A3312" w:rsidP="003A3312" w:rsidRDefault="003A3312" w14:paraId="159C7E0A" w14:textId="77777777">
      <w:r w:rsidRPr="00077789">
        <w:t xml:space="preserve">Safely Navigating the </w:t>
      </w:r>
      <w:proofErr w:type="gramStart"/>
      <w:r w:rsidRPr="00077789">
        <w:t>First-Money</w:t>
      </w:r>
      <w:proofErr w:type="gramEnd"/>
      <w:r w:rsidRPr="00077789">
        <w:t>-Out Rule and Rollovers</w:t>
      </w:r>
      <w:r>
        <w:t>............................................5 Minutes</w:t>
      </w:r>
    </w:p>
    <w:p w:rsidRPr="00CA5C63" w:rsidR="00BD1F06" w:rsidP="00CA5C63" w:rsidRDefault="00BD1F06" w14:paraId="53128261" w14:textId="77777777">
      <w:pPr>
        <w:ind w:left="5760"/>
        <w:rPr>
          <w:sz w:val="22"/>
          <w:szCs w:val="22"/>
        </w:rPr>
      </w:pPr>
    </w:p>
    <w:sectPr w:rsidRPr="00CA5C63" w:rsidR="00BD1F06" w:rsidSect="004522F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66FF"/>
    <w:multiLevelType w:val="hybridMultilevel"/>
    <w:tmpl w:val="B5A62C88"/>
    <w:lvl w:ilvl="0" w:tplc="DBBE917C">
      <w:numFmt w:val="bullet"/>
      <w:lvlText w:val="-"/>
      <w:lvlJc w:val="left"/>
      <w:pPr>
        <w:ind w:left="720" w:hanging="360"/>
      </w:pPr>
      <w:rPr>
        <w:rFonts w:hint="default" w:ascii="Times New Roman" w:hAnsi="Times New Roman"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946277727">
    <w:abstractNumId w:val="1"/>
  </w:num>
  <w:num w:numId="2" w16cid:durableId="1121803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7D"/>
    <w:rsid w:val="00033080"/>
    <w:rsid w:val="000A5F27"/>
    <w:rsid w:val="00147352"/>
    <w:rsid w:val="001E7837"/>
    <w:rsid w:val="002352A6"/>
    <w:rsid w:val="00250807"/>
    <w:rsid w:val="002F5158"/>
    <w:rsid w:val="00340F52"/>
    <w:rsid w:val="003A3312"/>
    <w:rsid w:val="003D16BC"/>
    <w:rsid w:val="004522F4"/>
    <w:rsid w:val="0051424A"/>
    <w:rsid w:val="00591CA0"/>
    <w:rsid w:val="005B696B"/>
    <w:rsid w:val="005E7A5D"/>
    <w:rsid w:val="00646738"/>
    <w:rsid w:val="006D4297"/>
    <w:rsid w:val="008436DE"/>
    <w:rsid w:val="008B647D"/>
    <w:rsid w:val="008C36BF"/>
    <w:rsid w:val="00BD1F06"/>
    <w:rsid w:val="00C4355B"/>
    <w:rsid w:val="00C92846"/>
    <w:rsid w:val="00CA5C63"/>
    <w:rsid w:val="00CB3C37"/>
    <w:rsid w:val="00D54696"/>
    <w:rsid w:val="00D81E8C"/>
    <w:rsid w:val="00DA6967"/>
    <w:rsid w:val="00EA11F3"/>
    <w:rsid w:val="00F0758B"/>
    <w:rsid w:val="00FE2DE0"/>
    <w:rsid w:val="00FF1735"/>
    <w:rsid w:val="3162228A"/>
    <w:rsid w:val="3E8EA59A"/>
    <w:rsid w:val="4FA234ED"/>
    <w:rsid w:val="55ACF47C"/>
    <w:rsid w:val="5C1021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40F1"/>
  <w15:chartTrackingRefBased/>
  <w15:docId w15:val="{EFA44A3B-81B2-46EC-AF2F-9CBEEB7F8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647D"/>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8B647D"/>
    <w:rPr>
      <w:color w:val="0000FF"/>
      <w:u w:val="single"/>
    </w:rPr>
  </w:style>
  <w:style w:type="paragraph" w:styleId="ListParagraph">
    <w:name w:val="List Paragraph"/>
    <w:basedOn w:val="Normal"/>
    <w:uiPriority w:val="34"/>
    <w:qFormat/>
    <w:rsid w:val="003A3312"/>
    <w:pPr>
      <w:ind w:left="720"/>
    </w:pPr>
  </w:style>
  <w:style w:type="paragraph" w:styleId="NoSpacing">
    <w:name w:val="No Spacing"/>
    <w:uiPriority w:val="1"/>
    <w:qFormat/>
    <w:rsid w:val="003A3312"/>
    <w:pPr>
      <w:spacing w:line="276" w:lineRule="auto"/>
    </w:pPr>
    <w:rPr>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fontTable" Target="fontTable.xml" Id="rId14" /><Relationship Type="http://schemas.openxmlformats.org/officeDocument/2006/relationships/hyperlink" Target="https://www.kitces.com/" TargetMode="External" Id="R877691fc05994784" /><Relationship Type="http://schemas.openxmlformats.org/officeDocument/2006/relationships/hyperlink" Target="https://wealth.focuspartners.com/" TargetMode="External" Id="R88f4335031034f50" /><Relationship Type="http://schemas.openxmlformats.org/officeDocument/2006/relationships/hyperlink" Target="https://www.aicpa.org/press/pressreleases/2017/aicpa-announces-standing-ovation-honors-in-personal-financial-planning.html" TargetMode="External" Id="R74775af06ba44f22" /><Relationship Type="http://schemas.openxmlformats.org/officeDocument/2006/relationships/hyperlink" Target="http://www.investmentnews.com/section/40-under-40/2017/profile/24/Jeffrey-Levine" TargetMode="External" Id="Rf8add3a30d774ce3" /><Relationship Type="http://schemas.openxmlformats.org/officeDocument/2006/relationships/hyperlink" Target="https://twitter.com/CPAPlanner" TargetMode="External" Id="R1115a1b0f8974a49" /><Relationship Type="http://schemas.openxmlformats.org/officeDocument/2006/relationships/hyperlink" Target="http://www.fullyvestedadvice.com/" TargetMode="External" Id="Ra569fbe4fe684f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FA0B05-7F29-4E13-B976-7B23AEACCD76}">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0DA4699E-08DF-4F0C-80B8-5031349D80FD}">
  <ds:schemaRefs>
    <ds:schemaRef ds:uri="http://schemas.microsoft.com/sharepoint/v3/contenttype/forms"/>
  </ds:schemaRefs>
</ds:datastoreItem>
</file>

<file path=customXml/itemProps3.xml><?xml version="1.0" encoding="utf-8"?>
<ds:datastoreItem xmlns:ds="http://schemas.openxmlformats.org/officeDocument/2006/customXml" ds:itemID="{51B53CB7-E990-4B28-B1F5-568EA5BB0DA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MKitces</dc:creator>
  <keywords/>
  <lastModifiedBy>Paula Frey</lastModifiedBy>
  <revision>3</revision>
  <dcterms:created xsi:type="dcterms:W3CDTF">2024-02-28T21:40:00.0000000Z</dcterms:created>
  <dcterms:modified xsi:type="dcterms:W3CDTF">2025-04-10T16:54:58.5851560Z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