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C1DC" w14:textId="723082C1" w:rsidR="00652985" w:rsidRDefault="00652985" w:rsidP="00652985">
      <w:r w:rsidRPr="00652985">
        <w:rPr>
          <w:i/>
        </w:rPr>
        <w:t xml:space="preserve">Presentation: </w:t>
      </w:r>
      <w:r w:rsidRPr="00652985">
        <w:rPr>
          <w:i/>
          <w:highlight w:val="yellow"/>
        </w:rPr>
        <w:br/>
      </w:r>
      <w:r w:rsidR="00CC2681">
        <w:t xml:space="preserve">Tax </w:t>
      </w:r>
      <w:r>
        <w:t>Planning For TCJA's</w:t>
      </w:r>
      <w:r w:rsidR="00B37C85">
        <w:t xml:space="preserve"> (Scheduled)</w:t>
      </w:r>
      <w:r>
        <w:t xml:space="preserve"> Sunset</w:t>
      </w:r>
      <w:r w:rsidR="00B37C85">
        <w:t>: Preparing Clients For Change Amid Legislative Uncertainty</w:t>
      </w:r>
    </w:p>
    <w:p w14:paraId="13C1065E" w14:textId="77777777" w:rsidR="00652985" w:rsidRPr="0083149F" w:rsidRDefault="00652985" w:rsidP="00652985"/>
    <w:p w14:paraId="6F1DF7C6" w14:textId="2CFB69C7" w:rsidR="00652985" w:rsidRPr="00265D73" w:rsidRDefault="00652985" w:rsidP="00652985">
      <w:r w:rsidRPr="000E1D6E">
        <w:rPr>
          <w:i/>
        </w:rPr>
        <w:t xml:space="preserve">Presenter: </w:t>
      </w:r>
      <w:r w:rsidRPr="000E1D6E">
        <w:rPr>
          <w:i/>
        </w:rPr>
        <w:br/>
      </w:r>
      <w:r w:rsidR="000E1D6E" w:rsidRPr="000E1D6E">
        <w:t>Ben Henry-Moreland is a Senior Financial Planning Nerd at </w:t>
      </w:r>
      <w:hyperlink r:id="rId8" w:tgtFrame="_blank" w:history="1">
        <w:r w:rsidR="000E1D6E" w:rsidRPr="000E1D6E">
          <w:rPr>
            <w:rStyle w:val="Hyperlink"/>
          </w:rPr>
          <w:t>Kitces.com</w:t>
        </w:r>
      </w:hyperlink>
      <w:r w:rsidR="000E1D6E" w:rsidRPr="000E1D6E">
        <w:t xml:space="preserve">, where he specializes in writing and speaking on financial planning topics including tax, practice management, and technology. He also co-authors the monthly Kitces #AdvisorTech column. Drawing from his experience as a financial planner and a solo advisory firm owner, Ben is passionate about fulfilling the site’s mission of making financial </w:t>
      </w:r>
      <w:proofErr w:type="spellStart"/>
      <w:r w:rsidR="000E1D6E" w:rsidRPr="000E1D6E">
        <w:t>advicers</w:t>
      </w:r>
      <w:proofErr w:type="spellEnd"/>
      <w:r w:rsidR="000E1D6E" w:rsidRPr="000E1D6E">
        <w:t xml:space="preserve"> better and more successful.</w:t>
      </w:r>
    </w:p>
    <w:p w14:paraId="6BB74689" w14:textId="77777777" w:rsidR="00652985" w:rsidRPr="0083149F" w:rsidRDefault="00652985" w:rsidP="00652985"/>
    <w:p w14:paraId="7119ED47" w14:textId="77777777" w:rsidR="00652985" w:rsidRPr="00DB78C1" w:rsidRDefault="00652985" w:rsidP="00652985">
      <w:pPr>
        <w:rPr>
          <w:i/>
        </w:rPr>
      </w:pPr>
      <w:r w:rsidRPr="00DB78C1">
        <w:rPr>
          <w:i/>
        </w:rPr>
        <w:t>Session Description:</w:t>
      </w:r>
    </w:p>
    <w:p w14:paraId="0AB0B236" w14:textId="6336D494" w:rsidR="00652985" w:rsidRDefault="00652985" w:rsidP="00652985">
      <w:r w:rsidRPr="000E1D6E">
        <w:t xml:space="preserve">The Tax Cuts and Jobs Act (TCJA) of 2017 </w:t>
      </w:r>
      <w:r w:rsidR="000E1D6E" w:rsidRPr="000E1D6E">
        <w:t>introduced a great many changes to the i</w:t>
      </w:r>
      <w:r w:rsidR="000E1D6E">
        <w:t xml:space="preserve">ndividual tax system, from </w:t>
      </w:r>
      <w:r w:rsidR="007F2558">
        <w:t>a restructuring of</w:t>
      </w:r>
      <w:r w:rsidR="000E1D6E">
        <w:t xml:space="preserve"> the tax brackets themselves to </w:t>
      </w:r>
      <w:r w:rsidR="007F2558">
        <w:t xml:space="preserve">shifts in </w:t>
      </w:r>
      <w:r w:rsidR="000E1D6E">
        <w:t>the amount and number of deductions</w:t>
      </w:r>
      <w:r w:rsidR="007F2558">
        <w:t>, exemptions, and credits</w:t>
      </w:r>
      <w:r w:rsidR="000E1D6E">
        <w:t xml:space="preserve"> available </w:t>
      </w:r>
      <w:r w:rsidR="007F2558">
        <w:t>to taxpayers. But the caveat is that most of TCJA's provisions are scheduled to expire at the end of 2025</w:t>
      </w:r>
      <w:r w:rsidR="00055724">
        <w:t xml:space="preserve">, which means that taxpayers </w:t>
      </w:r>
      <w:r w:rsidR="003C74D0">
        <w:t xml:space="preserve">are set to </w:t>
      </w:r>
      <w:r w:rsidR="00055724">
        <w:t xml:space="preserve">undergo the second major tax overhaul in the last 10 years, even if it's just </w:t>
      </w:r>
      <w:proofErr w:type="gramStart"/>
      <w:r w:rsidR="00055724">
        <w:t>as a result of</w:t>
      </w:r>
      <w:proofErr w:type="gramEnd"/>
      <w:r w:rsidR="00055724">
        <w:t xml:space="preserve"> going back to the "old" system. In many cases, taxpayers will slightly higher tax rates on their taxable income</w:t>
      </w:r>
      <w:r w:rsidR="003C74D0">
        <w:t xml:space="preserve">; however, a </w:t>
      </w:r>
      <w:r w:rsidR="00055724">
        <w:t xml:space="preserve">reduced </w:t>
      </w:r>
      <w:r w:rsidR="003C74D0">
        <w:t xml:space="preserve">standard deduction, more available itemized deductions, restoration of personal exemptions, reductions in the Alternative Minimum Tax (AMT) exemptions and phaseout levels, and the elimination of the Sec. 199A deduction on Qualified Business Income QBI will each have a significant impact on the amount of tax people </w:t>
      </w:r>
      <w:proofErr w:type="gramStart"/>
      <w:r w:rsidR="003C74D0">
        <w:t>actually pay</w:t>
      </w:r>
      <w:proofErr w:type="gramEnd"/>
      <w:r w:rsidR="003C74D0">
        <w:t xml:space="preserve">. Meanwhile, TCJA's sunset will reduce the gift and estate tax exemption by 50%, potentially subjecting many more families to estate tax after 2025 (unless they </w:t>
      </w:r>
      <w:proofErr w:type="gramStart"/>
      <w:r w:rsidR="003C74D0">
        <w:t>take action</w:t>
      </w:r>
      <w:proofErr w:type="gramEnd"/>
      <w:r w:rsidR="003C74D0">
        <w:t xml:space="preserve"> to gift or transfer assets from their estate to take advantage of today's higher exemption). </w:t>
      </w:r>
      <w:r w:rsidR="00CA7E07">
        <w:t>And even though it's uncertain whether some or all of TCJA will be extended, modified, or allowed to expire (which will ultimately be decided after the 2024 elections and legislative negotiations to follow), tax planners will benefit from knowing what aspects of their clients' tax pictures stand to change as a result of TCJA's sunset and what planning opportunities exist so they can take action once there's more certainty.</w:t>
      </w:r>
    </w:p>
    <w:p w14:paraId="37B16702" w14:textId="77777777" w:rsidR="00652985" w:rsidRPr="007724CA" w:rsidRDefault="00652985" w:rsidP="00652985"/>
    <w:p w14:paraId="2BC983B5" w14:textId="77777777" w:rsidR="00652985" w:rsidRDefault="00652985" w:rsidP="00652985"/>
    <w:p w14:paraId="6CCE7145" w14:textId="77777777" w:rsidR="00652985" w:rsidRDefault="00652985" w:rsidP="00652985">
      <w:r>
        <w:rPr>
          <w:i/>
        </w:rPr>
        <w:t>Learning Objectives:</w:t>
      </w:r>
    </w:p>
    <w:p w14:paraId="46DC5EF3" w14:textId="73D48740" w:rsidR="00652985" w:rsidRPr="006151A2" w:rsidRDefault="00652985" w:rsidP="00652985">
      <w:pPr>
        <w:ind w:left="900" w:hanging="900"/>
      </w:pPr>
      <w:r w:rsidRPr="006151A2">
        <w:t xml:space="preserve">- LO #1: Identify </w:t>
      </w:r>
      <w:r w:rsidR="00CA7E07" w:rsidRPr="006151A2">
        <w:t>the changes to individual tax brackets that will take place after TCJA's expiration</w:t>
      </w:r>
    </w:p>
    <w:p w14:paraId="0F3365EC" w14:textId="77777777" w:rsidR="00652985" w:rsidRPr="006151A2" w:rsidRDefault="00652985" w:rsidP="00652985">
      <w:pPr>
        <w:ind w:left="900" w:hanging="900"/>
      </w:pPr>
    </w:p>
    <w:p w14:paraId="41D9D9D0" w14:textId="16C89058" w:rsidR="00652985" w:rsidRPr="006151A2" w:rsidRDefault="00652985" w:rsidP="00652985">
      <w:pPr>
        <w:ind w:left="900" w:hanging="900"/>
      </w:pPr>
      <w:r w:rsidRPr="006151A2">
        <w:t xml:space="preserve">- LO #2: </w:t>
      </w:r>
      <w:r w:rsidR="00CA7E07" w:rsidRPr="006151A2">
        <w:t xml:space="preserve">Describe the impact </w:t>
      </w:r>
      <w:r w:rsidR="003D5321" w:rsidRPr="006151A2">
        <w:t>of</w:t>
      </w:r>
      <w:r w:rsidR="00CA7E07" w:rsidRPr="006151A2">
        <w:t xml:space="preserve"> the planned changes to standardized and itemized deductions, exemptions, and credits on a family's tax situation</w:t>
      </w:r>
    </w:p>
    <w:p w14:paraId="619340F6" w14:textId="77777777" w:rsidR="006151A2" w:rsidRPr="006151A2" w:rsidRDefault="006151A2" w:rsidP="00652985">
      <w:pPr>
        <w:ind w:left="900" w:hanging="900"/>
      </w:pPr>
    </w:p>
    <w:p w14:paraId="42F8F7D0" w14:textId="3E78563E" w:rsidR="006151A2" w:rsidRPr="006151A2" w:rsidRDefault="006151A2" w:rsidP="006151A2">
      <w:pPr>
        <w:ind w:left="900" w:hanging="900"/>
      </w:pPr>
      <w:r w:rsidRPr="006151A2">
        <w:t xml:space="preserve">- LO #5: Describe how changes to the Alternative Minimum Tax system will affect taxpayers </w:t>
      </w:r>
      <w:r>
        <w:t>after TCJA's sunset</w:t>
      </w:r>
    </w:p>
    <w:p w14:paraId="5D85DA8D" w14:textId="77777777" w:rsidR="00652985" w:rsidRPr="006151A2" w:rsidRDefault="00652985" w:rsidP="00652985">
      <w:pPr>
        <w:ind w:left="900" w:hanging="900"/>
      </w:pPr>
    </w:p>
    <w:p w14:paraId="731E32D4" w14:textId="2F2A6440" w:rsidR="00652985" w:rsidRPr="006151A2" w:rsidRDefault="00652985" w:rsidP="00652985">
      <w:pPr>
        <w:ind w:left="900" w:hanging="900"/>
      </w:pPr>
      <w:r w:rsidRPr="006151A2">
        <w:t xml:space="preserve">- LO #3: </w:t>
      </w:r>
      <w:r w:rsidR="003D5321" w:rsidRPr="006151A2">
        <w:t>Recognize when a business owner would want to accelerate or defer income to maximize the Sec. 199A deduction before its planned expiration</w:t>
      </w:r>
    </w:p>
    <w:p w14:paraId="6890E686" w14:textId="77777777" w:rsidR="00652985" w:rsidRPr="006151A2" w:rsidRDefault="00652985" w:rsidP="00652985">
      <w:pPr>
        <w:ind w:left="900" w:hanging="900"/>
      </w:pPr>
    </w:p>
    <w:p w14:paraId="19E89818" w14:textId="2C9128F5" w:rsidR="00652985" w:rsidRPr="006151A2" w:rsidRDefault="00652985" w:rsidP="00652985">
      <w:pPr>
        <w:ind w:left="900" w:hanging="900"/>
      </w:pPr>
      <w:r w:rsidRPr="006151A2">
        <w:lastRenderedPageBreak/>
        <w:t xml:space="preserve">- LO #4: </w:t>
      </w:r>
      <w:r w:rsidR="003D5321" w:rsidRPr="006151A2">
        <w:t>Name the strategies a family could use to avoid becoming subject to higher estate tax after TCJA's sunset</w:t>
      </w:r>
    </w:p>
    <w:p w14:paraId="0B1F9C66" w14:textId="77777777" w:rsidR="00652985" w:rsidRPr="00652985" w:rsidRDefault="00652985" w:rsidP="00652985">
      <w:pPr>
        <w:ind w:left="900" w:hanging="900"/>
        <w:rPr>
          <w:highlight w:val="yellow"/>
        </w:rPr>
      </w:pPr>
    </w:p>
    <w:p w14:paraId="1451DCD2" w14:textId="77777777" w:rsidR="00652985" w:rsidRDefault="00652985" w:rsidP="00652985">
      <w:pPr>
        <w:rPr>
          <w:i/>
        </w:rPr>
      </w:pPr>
    </w:p>
    <w:p w14:paraId="23911213" w14:textId="77777777" w:rsidR="00652985" w:rsidRPr="00886F9D" w:rsidRDefault="00652985" w:rsidP="00652985">
      <w:pPr>
        <w:rPr>
          <w:i/>
        </w:rPr>
      </w:pPr>
      <w:r>
        <w:rPr>
          <w:i/>
        </w:rPr>
        <w:t>Level of Complexity:</w:t>
      </w:r>
    </w:p>
    <w:p w14:paraId="0F6F15B5" w14:textId="77777777" w:rsidR="00652985" w:rsidRDefault="00652985" w:rsidP="00652985">
      <w:r>
        <w:t>- Intermediate</w:t>
      </w:r>
    </w:p>
    <w:p w14:paraId="33A07A13" w14:textId="77777777" w:rsidR="00652985" w:rsidRDefault="00652985" w:rsidP="00652985"/>
    <w:p w14:paraId="2E780305" w14:textId="77777777" w:rsidR="00652985" w:rsidRDefault="00652985" w:rsidP="00652985">
      <w:r>
        <w:rPr>
          <w:i/>
        </w:rPr>
        <w:t>Topic Area(s):</w:t>
      </w:r>
    </w:p>
    <w:p w14:paraId="4D18A1AB" w14:textId="77777777" w:rsidR="00652985" w:rsidRPr="00886F9D" w:rsidRDefault="00652985" w:rsidP="00652985">
      <w:r>
        <w:t>-  Income Tax Planning</w:t>
      </w:r>
    </w:p>
    <w:p w14:paraId="44FF0891" w14:textId="77777777" w:rsidR="00652985" w:rsidRDefault="00652985" w:rsidP="00652985"/>
    <w:p w14:paraId="06F88EA7" w14:textId="77777777" w:rsidR="00652985" w:rsidRPr="00886F9D" w:rsidRDefault="00652985" w:rsidP="00652985">
      <w:pPr>
        <w:rPr>
          <w:i/>
        </w:rPr>
      </w:pPr>
      <w:r>
        <w:rPr>
          <w:i/>
        </w:rPr>
        <w:t>Hour(s) of CE:</w:t>
      </w:r>
    </w:p>
    <w:p w14:paraId="08854655" w14:textId="77777777" w:rsidR="00652985" w:rsidRDefault="00652985" w:rsidP="00652985">
      <w:r>
        <w:t>- 1 hour</w:t>
      </w:r>
    </w:p>
    <w:p w14:paraId="7BE7DE0D" w14:textId="77777777" w:rsidR="00652985" w:rsidRDefault="00652985" w:rsidP="00652985"/>
    <w:p w14:paraId="093E9B40" w14:textId="77777777" w:rsidR="00652985" w:rsidRPr="00147352" w:rsidRDefault="00652985" w:rsidP="00652985">
      <w:pPr>
        <w:rPr>
          <w:i/>
        </w:rPr>
      </w:pPr>
      <w:r>
        <w:rPr>
          <w:i/>
        </w:rPr>
        <w:t>Outline:</w:t>
      </w:r>
    </w:p>
    <w:p w14:paraId="41D6A9E9" w14:textId="192DB215" w:rsidR="00652985" w:rsidRPr="00CC2681" w:rsidRDefault="00652985" w:rsidP="00652985">
      <w:pPr>
        <w:numPr>
          <w:ilvl w:val="0"/>
          <w:numId w:val="1"/>
        </w:numPr>
        <w:spacing w:line="360" w:lineRule="auto"/>
        <w:rPr>
          <w:sz w:val="22"/>
          <w:szCs w:val="22"/>
        </w:rPr>
      </w:pPr>
      <w:r w:rsidRPr="00CC2681">
        <w:rPr>
          <w:sz w:val="22"/>
          <w:szCs w:val="22"/>
        </w:rPr>
        <w:t xml:space="preserve">Background of the TCJA </w:t>
      </w:r>
      <w:r w:rsidR="006151A2" w:rsidRPr="00CC2681">
        <w:rPr>
          <w:sz w:val="22"/>
          <w:szCs w:val="22"/>
        </w:rPr>
        <w:t>legislation and sunset provisions</w:t>
      </w:r>
      <w:r w:rsidRPr="00CC2681">
        <w:rPr>
          <w:sz w:val="22"/>
          <w:szCs w:val="22"/>
        </w:rPr>
        <w:tab/>
      </w:r>
      <w:r w:rsidRPr="00CC2681">
        <w:rPr>
          <w:sz w:val="22"/>
          <w:szCs w:val="22"/>
        </w:rPr>
        <w:tab/>
        <w:t>4 minutes</w:t>
      </w:r>
    </w:p>
    <w:p w14:paraId="63412A4E" w14:textId="1AFA75D4" w:rsidR="00652985" w:rsidRPr="00CC2681" w:rsidRDefault="00652985" w:rsidP="00652985">
      <w:pPr>
        <w:numPr>
          <w:ilvl w:val="0"/>
          <w:numId w:val="1"/>
        </w:numPr>
        <w:spacing w:line="360" w:lineRule="auto"/>
        <w:rPr>
          <w:sz w:val="22"/>
          <w:szCs w:val="22"/>
        </w:rPr>
      </w:pPr>
      <w:r w:rsidRPr="00CC2681">
        <w:rPr>
          <w:sz w:val="22"/>
          <w:szCs w:val="22"/>
        </w:rPr>
        <w:t xml:space="preserve">Changes to </w:t>
      </w:r>
      <w:r w:rsidR="006151A2" w:rsidRPr="00CC2681">
        <w:rPr>
          <w:sz w:val="22"/>
          <w:szCs w:val="22"/>
        </w:rPr>
        <w:t>i</w:t>
      </w:r>
      <w:r w:rsidRPr="00CC2681">
        <w:rPr>
          <w:sz w:val="22"/>
          <w:szCs w:val="22"/>
        </w:rPr>
        <w:t xml:space="preserve">ndividual </w:t>
      </w:r>
      <w:r w:rsidR="006151A2" w:rsidRPr="00CC2681">
        <w:rPr>
          <w:sz w:val="22"/>
          <w:szCs w:val="22"/>
        </w:rPr>
        <w:t>t</w:t>
      </w:r>
      <w:r w:rsidRPr="00CC2681">
        <w:rPr>
          <w:sz w:val="22"/>
          <w:szCs w:val="22"/>
        </w:rPr>
        <w:t xml:space="preserve">ax </w:t>
      </w:r>
      <w:r w:rsidR="006151A2" w:rsidRPr="00CC2681">
        <w:rPr>
          <w:sz w:val="22"/>
          <w:szCs w:val="22"/>
        </w:rPr>
        <w:t>b</w:t>
      </w:r>
      <w:r w:rsidRPr="00CC2681">
        <w:rPr>
          <w:sz w:val="22"/>
          <w:szCs w:val="22"/>
        </w:rPr>
        <w:t>rackets</w:t>
      </w:r>
      <w:r w:rsidRPr="00CC2681">
        <w:rPr>
          <w:sz w:val="22"/>
          <w:szCs w:val="22"/>
        </w:rPr>
        <w:tab/>
      </w:r>
      <w:r w:rsidRPr="00CC2681">
        <w:rPr>
          <w:sz w:val="22"/>
          <w:szCs w:val="22"/>
        </w:rPr>
        <w:tab/>
      </w:r>
      <w:r w:rsidRPr="00CC2681">
        <w:rPr>
          <w:sz w:val="22"/>
          <w:szCs w:val="22"/>
        </w:rPr>
        <w:tab/>
      </w:r>
      <w:r w:rsidRPr="00CC2681">
        <w:rPr>
          <w:sz w:val="22"/>
          <w:szCs w:val="22"/>
        </w:rPr>
        <w:tab/>
      </w:r>
      <w:r w:rsidRPr="00CC2681">
        <w:rPr>
          <w:sz w:val="22"/>
          <w:szCs w:val="22"/>
        </w:rPr>
        <w:tab/>
      </w:r>
      <w:r w:rsidR="00CC2681" w:rsidRPr="00CC2681">
        <w:rPr>
          <w:sz w:val="22"/>
          <w:szCs w:val="22"/>
        </w:rPr>
        <w:t>6</w:t>
      </w:r>
      <w:r w:rsidRPr="00CC2681">
        <w:rPr>
          <w:sz w:val="22"/>
          <w:szCs w:val="22"/>
        </w:rPr>
        <w:t xml:space="preserve"> minutes</w:t>
      </w:r>
    </w:p>
    <w:p w14:paraId="54575D40" w14:textId="791DB44C" w:rsidR="00652985" w:rsidRPr="00CC2681" w:rsidRDefault="006151A2" w:rsidP="00652985">
      <w:pPr>
        <w:numPr>
          <w:ilvl w:val="0"/>
          <w:numId w:val="1"/>
        </w:numPr>
        <w:spacing w:line="360" w:lineRule="auto"/>
        <w:rPr>
          <w:sz w:val="22"/>
          <w:szCs w:val="22"/>
        </w:rPr>
      </w:pPr>
      <w:r w:rsidRPr="00CC2681">
        <w:rPr>
          <w:sz w:val="22"/>
          <w:szCs w:val="22"/>
        </w:rPr>
        <w:t>Changes to standard and itemized deductions</w:t>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00CC2681" w:rsidRPr="00CC2681">
        <w:rPr>
          <w:sz w:val="22"/>
          <w:szCs w:val="22"/>
        </w:rPr>
        <w:t>6</w:t>
      </w:r>
      <w:r w:rsidR="00652985" w:rsidRPr="00CC2681">
        <w:rPr>
          <w:sz w:val="22"/>
          <w:szCs w:val="22"/>
        </w:rPr>
        <w:t xml:space="preserve"> minutes</w:t>
      </w:r>
    </w:p>
    <w:p w14:paraId="36A15211" w14:textId="1E6DAD17" w:rsidR="00652985" w:rsidRPr="00CC2681" w:rsidRDefault="006151A2" w:rsidP="00652985">
      <w:pPr>
        <w:numPr>
          <w:ilvl w:val="0"/>
          <w:numId w:val="1"/>
        </w:numPr>
        <w:spacing w:line="360" w:lineRule="auto"/>
        <w:rPr>
          <w:sz w:val="22"/>
          <w:szCs w:val="22"/>
        </w:rPr>
      </w:pPr>
      <w:r w:rsidRPr="00CC2681">
        <w:rPr>
          <w:sz w:val="22"/>
          <w:szCs w:val="22"/>
        </w:rPr>
        <w:t>Changes to Alternative Minimum Tax</w:t>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00CC2681" w:rsidRPr="00CC2681">
        <w:rPr>
          <w:sz w:val="22"/>
          <w:szCs w:val="22"/>
        </w:rPr>
        <w:t>4</w:t>
      </w:r>
      <w:r w:rsidR="00652985" w:rsidRPr="00CC2681">
        <w:rPr>
          <w:sz w:val="22"/>
          <w:szCs w:val="22"/>
        </w:rPr>
        <w:t xml:space="preserve"> minutes</w:t>
      </w:r>
    </w:p>
    <w:p w14:paraId="65D62CA4" w14:textId="61E1F4A7" w:rsidR="00652985" w:rsidRPr="00CC2681" w:rsidRDefault="006151A2" w:rsidP="00652985">
      <w:pPr>
        <w:numPr>
          <w:ilvl w:val="0"/>
          <w:numId w:val="1"/>
        </w:numPr>
        <w:spacing w:line="360" w:lineRule="auto"/>
        <w:rPr>
          <w:sz w:val="22"/>
          <w:szCs w:val="22"/>
        </w:rPr>
      </w:pPr>
      <w:r w:rsidRPr="00CC2681">
        <w:rPr>
          <w:sz w:val="22"/>
          <w:szCs w:val="22"/>
        </w:rPr>
        <w:t>Elimination of Sec. 199A deduction</w:t>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00CC2681" w:rsidRPr="00CC2681">
        <w:rPr>
          <w:sz w:val="22"/>
          <w:szCs w:val="22"/>
        </w:rPr>
        <w:t>6</w:t>
      </w:r>
      <w:r w:rsidR="00652985" w:rsidRPr="00CC2681">
        <w:rPr>
          <w:sz w:val="22"/>
          <w:szCs w:val="22"/>
        </w:rPr>
        <w:t xml:space="preserve"> minutes</w:t>
      </w:r>
    </w:p>
    <w:p w14:paraId="647B80F1" w14:textId="64FB9C35" w:rsidR="00652985" w:rsidRPr="00CC2681" w:rsidRDefault="00CC2681" w:rsidP="00652985">
      <w:pPr>
        <w:numPr>
          <w:ilvl w:val="0"/>
          <w:numId w:val="1"/>
        </w:numPr>
        <w:spacing w:line="360" w:lineRule="auto"/>
        <w:rPr>
          <w:sz w:val="22"/>
          <w:szCs w:val="22"/>
        </w:rPr>
      </w:pPr>
      <w:r w:rsidRPr="00CC2681">
        <w:rPr>
          <w:sz w:val="22"/>
          <w:szCs w:val="22"/>
        </w:rPr>
        <w:t>Projecting impact of TCJA's sunset on clients' taxes</w:t>
      </w:r>
      <w:r w:rsidRPr="00CC2681">
        <w:rPr>
          <w:sz w:val="22"/>
          <w:szCs w:val="22"/>
        </w:rPr>
        <w:tab/>
      </w:r>
      <w:r w:rsidR="00652985" w:rsidRPr="00CC2681">
        <w:rPr>
          <w:sz w:val="22"/>
          <w:szCs w:val="22"/>
        </w:rPr>
        <w:tab/>
      </w:r>
      <w:r w:rsidR="00652985" w:rsidRPr="00CC2681">
        <w:rPr>
          <w:sz w:val="22"/>
          <w:szCs w:val="22"/>
        </w:rPr>
        <w:tab/>
      </w:r>
      <w:r w:rsidRPr="00CC2681">
        <w:rPr>
          <w:sz w:val="22"/>
          <w:szCs w:val="22"/>
        </w:rPr>
        <w:t>6</w:t>
      </w:r>
      <w:r w:rsidR="00652985" w:rsidRPr="00CC2681">
        <w:rPr>
          <w:sz w:val="22"/>
          <w:szCs w:val="22"/>
        </w:rPr>
        <w:t xml:space="preserve"> minutes</w:t>
      </w:r>
    </w:p>
    <w:p w14:paraId="710E96EF" w14:textId="4F3092AC" w:rsidR="00652985" w:rsidRPr="00CC2681" w:rsidRDefault="00CC2681" w:rsidP="00652985">
      <w:pPr>
        <w:numPr>
          <w:ilvl w:val="0"/>
          <w:numId w:val="1"/>
        </w:numPr>
        <w:spacing w:line="360" w:lineRule="auto"/>
        <w:rPr>
          <w:sz w:val="22"/>
          <w:szCs w:val="22"/>
        </w:rPr>
      </w:pPr>
      <w:r w:rsidRPr="00CC2681">
        <w:rPr>
          <w:sz w:val="22"/>
          <w:szCs w:val="22"/>
        </w:rPr>
        <w:t>Reduction of the gift/estate tax exemption</w:t>
      </w:r>
      <w:r w:rsidR="00652985" w:rsidRPr="00CC2681">
        <w:rPr>
          <w:sz w:val="22"/>
          <w:szCs w:val="22"/>
        </w:rPr>
        <w:tab/>
      </w:r>
      <w:r w:rsidR="00652985" w:rsidRPr="00CC2681">
        <w:rPr>
          <w:sz w:val="22"/>
          <w:szCs w:val="22"/>
        </w:rPr>
        <w:tab/>
      </w:r>
      <w:r w:rsidR="00652985" w:rsidRPr="00CC2681">
        <w:rPr>
          <w:sz w:val="22"/>
          <w:szCs w:val="22"/>
        </w:rPr>
        <w:tab/>
      </w:r>
      <w:r w:rsidR="00652985" w:rsidRPr="00CC2681">
        <w:rPr>
          <w:sz w:val="22"/>
          <w:szCs w:val="22"/>
        </w:rPr>
        <w:tab/>
      </w:r>
      <w:r w:rsidRPr="00CC2681">
        <w:rPr>
          <w:sz w:val="22"/>
          <w:szCs w:val="22"/>
        </w:rPr>
        <w:t>8</w:t>
      </w:r>
      <w:r w:rsidR="00652985" w:rsidRPr="00CC2681">
        <w:rPr>
          <w:sz w:val="22"/>
          <w:szCs w:val="22"/>
        </w:rPr>
        <w:t xml:space="preserve"> minutes</w:t>
      </w:r>
    </w:p>
    <w:p w14:paraId="57C1328D" w14:textId="22845CD4" w:rsidR="00652985" w:rsidRPr="00CC2681" w:rsidRDefault="00CC2681" w:rsidP="00652985">
      <w:pPr>
        <w:numPr>
          <w:ilvl w:val="0"/>
          <w:numId w:val="1"/>
        </w:numPr>
        <w:spacing w:line="360" w:lineRule="auto"/>
        <w:rPr>
          <w:sz w:val="22"/>
          <w:szCs w:val="22"/>
        </w:rPr>
      </w:pPr>
      <w:r w:rsidRPr="00CC2681">
        <w:rPr>
          <w:sz w:val="22"/>
          <w:szCs w:val="22"/>
        </w:rPr>
        <w:t>Planning takeaways for an uncertain legislative environment</w:t>
      </w:r>
      <w:r w:rsidR="00652985" w:rsidRPr="00CC2681">
        <w:rPr>
          <w:sz w:val="22"/>
          <w:szCs w:val="22"/>
        </w:rPr>
        <w:tab/>
      </w:r>
      <w:r w:rsidR="00652985" w:rsidRPr="00CC2681">
        <w:rPr>
          <w:sz w:val="22"/>
          <w:szCs w:val="22"/>
        </w:rPr>
        <w:tab/>
      </w:r>
      <w:r w:rsidRPr="00CC2681">
        <w:rPr>
          <w:sz w:val="22"/>
          <w:szCs w:val="22"/>
        </w:rPr>
        <w:t>8</w:t>
      </w:r>
      <w:r w:rsidR="00652985" w:rsidRPr="00CC2681">
        <w:rPr>
          <w:sz w:val="22"/>
          <w:szCs w:val="22"/>
        </w:rPr>
        <w:t xml:space="preserve"> minutes</w:t>
      </w:r>
    </w:p>
    <w:p w14:paraId="44DE4466" w14:textId="0DE359ED" w:rsidR="00652985" w:rsidRPr="00CC2681" w:rsidRDefault="00652985" w:rsidP="00652985">
      <w:pPr>
        <w:numPr>
          <w:ilvl w:val="0"/>
          <w:numId w:val="1"/>
        </w:numPr>
        <w:spacing w:line="360" w:lineRule="auto"/>
        <w:rPr>
          <w:sz w:val="22"/>
          <w:szCs w:val="22"/>
        </w:rPr>
      </w:pPr>
      <w:r w:rsidRPr="00CC2681">
        <w:rPr>
          <w:sz w:val="22"/>
          <w:szCs w:val="22"/>
        </w:rPr>
        <w:t>Summary &amp; Q&amp;A</w:t>
      </w:r>
      <w:r w:rsidRPr="00CC2681">
        <w:rPr>
          <w:sz w:val="22"/>
          <w:szCs w:val="22"/>
        </w:rPr>
        <w:tab/>
      </w:r>
      <w:r w:rsidRPr="00CC2681">
        <w:rPr>
          <w:sz w:val="22"/>
          <w:szCs w:val="22"/>
        </w:rPr>
        <w:tab/>
      </w:r>
      <w:r w:rsidRPr="00CC2681">
        <w:rPr>
          <w:sz w:val="22"/>
          <w:szCs w:val="22"/>
        </w:rPr>
        <w:tab/>
      </w:r>
      <w:r w:rsidRPr="00CC2681">
        <w:rPr>
          <w:sz w:val="22"/>
          <w:szCs w:val="22"/>
        </w:rPr>
        <w:tab/>
      </w:r>
      <w:r w:rsidRPr="00CC2681">
        <w:rPr>
          <w:sz w:val="22"/>
          <w:szCs w:val="22"/>
        </w:rPr>
        <w:tab/>
      </w:r>
      <w:r w:rsidRPr="00CC2681">
        <w:rPr>
          <w:sz w:val="22"/>
          <w:szCs w:val="22"/>
        </w:rPr>
        <w:tab/>
      </w:r>
      <w:r w:rsidRPr="00CC2681">
        <w:rPr>
          <w:sz w:val="22"/>
          <w:szCs w:val="22"/>
        </w:rPr>
        <w:tab/>
      </w:r>
      <w:r w:rsidR="00CC2681" w:rsidRPr="00CC2681">
        <w:rPr>
          <w:sz w:val="22"/>
          <w:szCs w:val="22"/>
          <w:u w:val="single"/>
        </w:rPr>
        <w:t>2</w:t>
      </w:r>
      <w:r w:rsidRPr="00CC2681">
        <w:rPr>
          <w:sz w:val="22"/>
          <w:szCs w:val="22"/>
          <w:u w:val="single"/>
        </w:rPr>
        <w:t xml:space="preserve"> minutes</w:t>
      </w:r>
    </w:p>
    <w:p w14:paraId="1DF2C969" w14:textId="77777777" w:rsidR="00652985" w:rsidRDefault="00652985" w:rsidP="00652985">
      <w:pPr>
        <w:ind w:left="5760"/>
        <w:rPr>
          <w:sz w:val="22"/>
          <w:szCs w:val="22"/>
        </w:rPr>
      </w:pPr>
      <w:r w:rsidRPr="00CC2681">
        <w:rPr>
          <w:sz w:val="22"/>
          <w:szCs w:val="22"/>
        </w:rPr>
        <w:t xml:space="preserve">Total: </w:t>
      </w:r>
      <w:r w:rsidRPr="00CC2681">
        <w:rPr>
          <w:sz w:val="22"/>
          <w:szCs w:val="22"/>
        </w:rPr>
        <w:tab/>
      </w:r>
      <w:r w:rsidRPr="00CC2681">
        <w:rPr>
          <w:sz w:val="22"/>
          <w:szCs w:val="22"/>
        </w:rPr>
        <w:tab/>
        <w:t>50 minutes</w:t>
      </w:r>
    </w:p>
    <w:p w14:paraId="7FB3E0B2" w14:textId="77777777" w:rsidR="00B33FE9" w:rsidRDefault="00B33FE9"/>
    <w:sectPr w:rsidR="00B33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69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85"/>
    <w:rsid w:val="00052751"/>
    <w:rsid w:val="00055724"/>
    <w:rsid w:val="00093169"/>
    <w:rsid w:val="000E1D6E"/>
    <w:rsid w:val="003C74D0"/>
    <w:rsid w:val="003D5321"/>
    <w:rsid w:val="006151A2"/>
    <w:rsid w:val="00652985"/>
    <w:rsid w:val="007F2558"/>
    <w:rsid w:val="00A43BA9"/>
    <w:rsid w:val="00B33FE9"/>
    <w:rsid w:val="00B37C85"/>
    <w:rsid w:val="00CA7E07"/>
    <w:rsid w:val="00CC2681"/>
    <w:rsid w:val="00DF58C8"/>
    <w:rsid w:val="00ED013C"/>
    <w:rsid w:val="00FB2F77"/>
    <w:rsid w:val="00FC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3B9"/>
  <w15:chartTrackingRefBased/>
  <w15:docId w15:val="{92557706-AE1C-4E20-B9A2-3FE38F29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C1D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1D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1D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1D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1D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1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D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D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D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D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A1"/>
    <w:rPr>
      <w:rFonts w:eastAsiaTheme="majorEastAsia" w:cstheme="majorBidi"/>
      <w:color w:val="272727" w:themeColor="text1" w:themeTint="D8"/>
    </w:rPr>
  </w:style>
  <w:style w:type="paragraph" w:styleId="Title">
    <w:name w:val="Title"/>
    <w:basedOn w:val="Normal"/>
    <w:next w:val="Normal"/>
    <w:link w:val="TitleChar"/>
    <w:uiPriority w:val="10"/>
    <w:qFormat/>
    <w:rsid w:val="00FC1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A1"/>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FC1DA1"/>
    <w:pPr>
      <w:ind w:left="720"/>
      <w:contextualSpacing/>
    </w:pPr>
  </w:style>
  <w:style w:type="paragraph" w:styleId="Quote">
    <w:name w:val="Quote"/>
    <w:basedOn w:val="Normal"/>
    <w:next w:val="Normal"/>
    <w:link w:val="QuoteChar"/>
    <w:uiPriority w:val="29"/>
    <w:qFormat/>
    <w:rsid w:val="00FC1DA1"/>
    <w:pPr>
      <w:spacing w:before="160"/>
      <w:jc w:val="center"/>
    </w:pPr>
    <w:rPr>
      <w:i/>
      <w:iCs/>
      <w:color w:val="404040" w:themeColor="text1" w:themeTint="BF"/>
    </w:rPr>
  </w:style>
  <w:style w:type="character" w:customStyle="1" w:styleId="QuoteChar">
    <w:name w:val="Quote Char"/>
    <w:basedOn w:val="DefaultParagraphFont"/>
    <w:link w:val="Quote"/>
    <w:uiPriority w:val="29"/>
    <w:rsid w:val="00FC1DA1"/>
    <w:rPr>
      <w:i/>
      <w:iCs/>
      <w:color w:val="404040" w:themeColor="text1" w:themeTint="BF"/>
    </w:rPr>
  </w:style>
  <w:style w:type="paragraph" w:styleId="IntenseQuote">
    <w:name w:val="Intense Quote"/>
    <w:basedOn w:val="Normal"/>
    <w:next w:val="Normal"/>
    <w:link w:val="IntenseQuoteChar"/>
    <w:uiPriority w:val="30"/>
    <w:qFormat/>
    <w:rsid w:val="00FC1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DA1"/>
    <w:rPr>
      <w:i/>
      <w:iCs/>
      <w:color w:val="2F5496" w:themeColor="accent1" w:themeShade="BF"/>
    </w:rPr>
  </w:style>
  <w:style w:type="character" w:styleId="IntenseEmphasis">
    <w:name w:val="Intense Emphasis"/>
    <w:basedOn w:val="DefaultParagraphFont"/>
    <w:uiPriority w:val="21"/>
    <w:qFormat/>
    <w:rsid w:val="00FC1DA1"/>
    <w:rPr>
      <w:i/>
      <w:iCs/>
      <w:color w:val="2F5496" w:themeColor="accent1" w:themeShade="BF"/>
    </w:rPr>
  </w:style>
  <w:style w:type="character" w:styleId="IntenseReference">
    <w:name w:val="Intense Reference"/>
    <w:basedOn w:val="DefaultParagraphFont"/>
    <w:uiPriority w:val="32"/>
    <w:qFormat/>
    <w:rsid w:val="00FC1DA1"/>
    <w:rPr>
      <w:b/>
      <w:bCs/>
      <w:smallCaps/>
      <w:color w:val="2F5496" w:themeColor="accent1" w:themeShade="BF"/>
      <w:spacing w:val="5"/>
    </w:rPr>
  </w:style>
  <w:style w:type="character" w:styleId="Hyperlink">
    <w:name w:val="Hyperlink"/>
    <w:rsid w:val="00652985"/>
    <w:rPr>
      <w:color w:val="0000FF"/>
      <w:u w:val="single"/>
    </w:rPr>
  </w:style>
  <w:style w:type="character" w:styleId="UnresolvedMention">
    <w:name w:val="Unresolved Mention"/>
    <w:basedOn w:val="DefaultParagraphFont"/>
    <w:uiPriority w:val="99"/>
    <w:semiHidden/>
    <w:unhideWhenUsed/>
    <w:rsid w:val="000E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NEV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E5B1A-F2F8-4EC4-99CB-B593569A7822}">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2.xml><?xml version="1.0" encoding="utf-8"?>
<ds:datastoreItem xmlns:ds="http://schemas.openxmlformats.org/officeDocument/2006/customXml" ds:itemID="{C3CC0A33-63EC-4FC1-9BBC-0FDF88C2DF0A}">
  <ds:schemaRefs>
    <ds:schemaRef ds:uri="http://schemas.microsoft.com/sharepoint/v3/contenttype/forms"/>
  </ds:schemaRefs>
</ds:datastoreItem>
</file>

<file path=customXml/itemProps3.xml><?xml version="1.0" encoding="utf-8"?>
<ds:datastoreItem xmlns:ds="http://schemas.openxmlformats.org/officeDocument/2006/customXml" ds:itemID="{45270140-E004-4BF4-B90B-11F80DD46239}"/>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Henry-Moreland</dc:creator>
  <cp:keywords/>
  <dc:description/>
  <cp:lastModifiedBy>Paula Frey</cp:lastModifiedBy>
  <cp:revision>2</cp:revision>
  <dcterms:created xsi:type="dcterms:W3CDTF">2024-08-06T21:00:00Z</dcterms:created>
  <dcterms:modified xsi:type="dcterms:W3CDTF">2024-08-06T21:00:00Z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