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C0ED7" w14:textId="4B904967" w:rsidR="78692AD5" w:rsidRDefault="78692AD5" w:rsidP="633307D1">
      <w:pPr>
        <w:pStyle w:val="paragraph"/>
        <w:spacing w:before="0" w:beforeAutospacing="0" w:after="0" w:afterAutospacing="0" w:line="259" w:lineRule="auto"/>
      </w:pPr>
      <w:r w:rsidRPr="633307D1">
        <w:rPr>
          <w:rStyle w:val="normaltextrun"/>
          <w:color w:val="000000" w:themeColor="text1"/>
          <w:sz w:val="22"/>
          <w:szCs w:val="22"/>
        </w:rPr>
        <w:t>Presentation Session Description</w:t>
      </w:r>
    </w:p>
    <w:p w14:paraId="3006C35A" w14:textId="77777777" w:rsidR="00CA7E34" w:rsidRPr="00CA7E34" w:rsidRDefault="00CA7E34" w:rsidP="00CA7E34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2"/>
          <w:szCs w:val="22"/>
        </w:rPr>
      </w:pPr>
    </w:p>
    <w:p w14:paraId="0592CE2D" w14:textId="09C78350" w:rsidR="00CA7E34" w:rsidRPr="007C3163" w:rsidRDefault="00CA7E34" w:rsidP="007C3163">
      <w:pPr>
        <w:pStyle w:val="paragraph"/>
        <w:spacing w:after="0"/>
        <w:textAlignment w:val="baseline"/>
        <w:rPr>
          <w:color w:val="000000"/>
          <w:sz w:val="22"/>
          <w:szCs w:val="22"/>
        </w:rPr>
      </w:pPr>
      <w:r w:rsidRPr="633307D1">
        <w:rPr>
          <w:rStyle w:val="normaltextrun"/>
          <w:b/>
          <w:bCs/>
          <w:color w:val="000000" w:themeColor="text1"/>
          <w:sz w:val="22"/>
          <w:szCs w:val="22"/>
        </w:rPr>
        <w:t>Title</w:t>
      </w:r>
      <w:r w:rsidR="007C3163" w:rsidRPr="633307D1">
        <w:rPr>
          <w:rStyle w:val="normaltextrun"/>
          <w:color w:val="000000" w:themeColor="text1"/>
          <w:sz w:val="22"/>
          <w:szCs w:val="22"/>
        </w:rPr>
        <w:t xml:space="preserve"> </w:t>
      </w:r>
      <w:r w:rsidR="003349FF" w:rsidRPr="633307D1">
        <w:rPr>
          <w:rStyle w:val="normaltextrun"/>
          <w:color w:val="000000" w:themeColor="text1"/>
          <w:sz w:val="22"/>
          <w:szCs w:val="22"/>
        </w:rPr>
        <w:t>–</w:t>
      </w:r>
      <w:r w:rsidR="007C3163" w:rsidRPr="633307D1">
        <w:rPr>
          <w:rStyle w:val="normaltextrun"/>
          <w:color w:val="000000" w:themeColor="text1"/>
          <w:sz w:val="22"/>
          <w:szCs w:val="22"/>
        </w:rPr>
        <w:t xml:space="preserve"> </w:t>
      </w:r>
      <w:r w:rsidR="009A0C43" w:rsidRPr="633307D1">
        <w:rPr>
          <w:color w:val="000000" w:themeColor="text1"/>
          <w:sz w:val="22"/>
          <w:szCs w:val="22"/>
        </w:rPr>
        <w:t xml:space="preserve">Going Deeper </w:t>
      </w:r>
      <w:proofErr w:type="gramStart"/>
      <w:r w:rsidR="009A0C43" w:rsidRPr="633307D1">
        <w:rPr>
          <w:color w:val="000000" w:themeColor="text1"/>
          <w:sz w:val="22"/>
          <w:szCs w:val="22"/>
        </w:rPr>
        <w:t>On</w:t>
      </w:r>
      <w:proofErr w:type="gramEnd"/>
      <w:r w:rsidR="009A0C43" w:rsidRPr="633307D1">
        <w:rPr>
          <w:color w:val="000000" w:themeColor="text1"/>
          <w:sz w:val="22"/>
          <w:szCs w:val="22"/>
        </w:rPr>
        <w:t xml:space="preserve"> Taxes Compliantly: Tax Planning Vs. Tax Advice</w:t>
      </w:r>
    </w:p>
    <w:p w14:paraId="60F8C5ED" w14:textId="33DF6A3D" w:rsidR="00EB2AC0" w:rsidRPr="00EB2AC0" w:rsidRDefault="00CA7E34" w:rsidP="633307D1">
      <w:pPr>
        <w:pStyle w:val="paragraph"/>
        <w:textAlignment w:val="baseline"/>
        <w:rPr>
          <w:i/>
          <w:iCs/>
          <w:color w:val="222222"/>
          <w:sz w:val="22"/>
          <w:szCs w:val="22"/>
        </w:rPr>
      </w:pPr>
      <w:r>
        <w:br/>
      </w:r>
      <w:r w:rsidRPr="633307D1">
        <w:rPr>
          <w:rStyle w:val="normaltextrun"/>
          <w:b/>
          <w:bCs/>
          <w:color w:val="000000" w:themeColor="text1"/>
          <w:sz w:val="22"/>
          <w:szCs w:val="22"/>
        </w:rPr>
        <w:t>Presenter</w:t>
      </w:r>
      <w:r w:rsidRPr="633307D1">
        <w:rPr>
          <w:rStyle w:val="normaltextrun"/>
          <w:color w:val="000000" w:themeColor="text1"/>
          <w:sz w:val="22"/>
          <w:szCs w:val="22"/>
        </w:rPr>
        <w:t>:</w:t>
      </w:r>
      <w:r w:rsidRPr="633307D1">
        <w:rPr>
          <w:rStyle w:val="eop"/>
          <w:color w:val="000000" w:themeColor="text1"/>
          <w:sz w:val="22"/>
          <w:szCs w:val="22"/>
        </w:rPr>
        <w:t> </w:t>
      </w:r>
      <w:r w:rsidR="00DD75DD" w:rsidRPr="633307D1">
        <w:rPr>
          <w:color w:val="222222"/>
          <w:sz w:val="22"/>
          <w:szCs w:val="22"/>
        </w:rPr>
        <w:t xml:space="preserve">Ben Henry-Moreland, </w:t>
      </w:r>
      <w:r w:rsidR="00DD75DD" w:rsidRPr="633307D1">
        <w:rPr>
          <w:i/>
          <w:iCs/>
          <w:color w:val="222222"/>
          <w:sz w:val="22"/>
          <w:szCs w:val="22"/>
        </w:rPr>
        <w:t>Senior Financial Planning Nerd</w:t>
      </w:r>
      <w:r w:rsidR="00DD75DD" w:rsidRPr="633307D1">
        <w:rPr>
          <w:color w:val="222222"/>
          <w:sz w:val="22"/>
          <w:szCs w:val="22"/>
        </w:rPr>
        <w:t>, Kitces.com</w:t>
      </w:r>
    </w:p>
    <w:p w14:paraId="0473D538" w14:textId="4865B878" w:rsidR="00DD75DD" w:rsidRPr="00DD75DD" w:rsidRDefault="00DD75DD" w:rsidP="00DD75DD">
      <w:pPr>
        <w:pStyle w:val="paragraph"/>
        <w:spacing w:after="0"/>
        <w:textAlignment w:val="baseline"/>
        <w:rPr>
          <w:sz w:val="22"/>
          <w:szCs w:val="22"/>
        </w:rPr>
      </w:pPr>
      <w:r w:rsidRPr="00DD75DD">
        <w:rPr>
          <w:sz w:val="22"/>
          <w:szCs w:val="22"/>
        </w:rPr>
        <w:t>Ben Henry-Moreland is a Senior Financial Planning Nerd at </w:t>
      </w:r>
      <w:hyperlink r:id="rId8" w:tgtFrame="_blank" w:history="1">
        <w:r w:rsidRPr="00DD75DD">
          <w:rPr>
            <w:rStyle w:val="Hyperlink"/>
            <w:sz w:val="22"/>
            <w:szCs w:val="22"/>
          </w:rPr>
          <w:t>Kitces.com</w:t>
        </w:r>
      </w:hyperlink>
      <w:r w:rsidRPr="00DD75DD">
        <w:rPr>
          <w:sz w:val="22"/>
          <w:szCs w:val="22"/>
        </w:rPr>
        <w:t xml:space="preserve">, where he researches and writes for the Nerd’s Eye View blog, using his experience as a financial planner and a solo advisory firm owner to help fulfill the site’s mission of making financial </w:t>
      </w:r>
      <w:proofErr w:type="spellStart"/>
      <w:r w:rsidRPr="00DD75DD">
        <w:rPr>
          <w:sz w:val="22"/>
          <w:szCs w:val="22"/>
        </w:rPr>
        <w:t>advicers</w:t>
      </w:r>
      <w:proofErr w:type="spellEnd"/>
      <w:r w:rsidRPr="00DD75DD">
        <w:rPr>
          <w:sz w:val="22"/>
          <w:szCs w:val="22"/>
        </w:rPr>
        <w:t xml:space="preserve"> better and more successful. In addition to his work at </w:t>
      </w:r>
      <w:hyperlink r:id="rId9" w:tgtFrame="_blank" w:history="1">
        <w:r w:rsidRPr="00DD75DD">
          <w:rPr>
            <w:rStyle w:val="Hyperlink"/>
            <w:sz w:val="22"/>
            <w:szCs w:val="22"/>
          </w:rPr>
          <w:t>Kitces.com</w:t>
        </w:r>
      </w:hyperlink>
      <w:r w:rsidRPr="00DD75DD">
        <w:rPr>
          <w:sz w:val="22"/>
          <w:szCs w:val="22"/>
        </w:rPr>
        <w:t>, Ben serves clients at his RIA firm, Freelance Financial Planning.</w:t>
      </w:r>
    </w:p>
    <w:p w14:paraId="7A9A06E6" w14:textId="29A6B05D" w:rsidR="00CA7E34" w:rsidRPr="00CA7E34" w:rsidRDefault="00CA7E34" w:rsidP="00CA7E34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7C3163">
        <w:rPr>
          <w:rStyle w:val="normaltextrun"/>
          <w:b/>
          <w:bCs/>
          <w:color w:val="000000"/>
          <w:sz w:val="22"/>
          <w:szCs w:val="22"/>
        </w:rPr>
        <w:t>Description</w:t>
      </w:r>
      <w:r w:rsidRPr="00CA7E34">
        <w:rPr>
          <w:rStyle w:val="normaltextrun"/>
          <w:color w:val="000000"/>
          <w:sz w:val="22"/>
          <w:szCs w:val="22"/>
        </w:rPr>
        <w:t>:</w:t>
      </w:r>
      <w:r w:rsidRPr="00CA7E34">
        <w:rPr>
          <w:rStyle w:val="eop"/>
          <w:color w:val="000000"/>
          <w:sz w:val="22"/>
          <w:szCs w:val="22"/>
        </w:rPr>
        <w:t> </w:t>
      </w:r>
    </w:p>
    <w:p w14:paraId="709E29B0" w14:textId="77777777" w:rsidR="003349FF" w:rsidRDefault="003349FF" w:rsidP="00CA7E34">
      <w:pPr>
        <w:pStyle w:val="paragraph"/>
        <w:spacing w:before="0" w:beforeAutospacing="0" w:after="0" w:afterAutospacing="0"/>
        <w:textAlignment w:val="baseline"/>
        <w:rPr>
          <w:color w:val="333333"/>
          <w:sz w:val="22"/>
          <w:szCs w:val="22"/>
          <w:shd w:val="clear" w:color="auto" w:fill="FFFFFF"/>
        </w:rPr>
      </w:pPr>
    </w:p>
    <w:p w14:paraId="7F28D095" w14:textId="7BA53745" w:rsidR="003349FF" w:rsidRDefault="00C27AC0" w:rsidP="633307D1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  <w:shd w:val="clear" w:color="auto" w:fill="FFFFFF"/>
        </w:rPr>
      </w:pPr>
      <w:r w:rsidRPr="00C27AC0">
        <w:rPr>
          <w:color w:val="000000" w:themeColor="text1"/>
          <w:sz w:val="22"/>
          <w:szCs w:val="22"/>
          <w:shd w:val="clear" w:color="auto" w:fill="FFFFFF"/>
        </w:rPr>
        <w:t xml:space="preserve">In this session, advisors will gain a comprehensive understanding of the types of tax advice they cannot provide without being a designated tax practitioner, such as a CPA, EA, or attorney. Explore the allowable types of tax advice from a legal standpoint, while also recognizing the potential liabilities for advisors and their firms in the absence of proper procedures for competent and client-centric tax advice. Discover the nuances between tax planning and tax </w:t>
      </w:r>
      <w:r w:rsidR="0046106E" w:rsidRPr="00C27AC0">
        <w:rPr>
          <w:color w:val="000000" w:themeColor="text1"/>
          <w:sz w:val="22"/>
          <w:szCs w:val="22"/>
          <w:shd w:val="clear" w:color="auto" w:fill="FFFFFF"/>
        </w:rPr>
        <w:t>advice and</w:t>
      </w:r>
      <w:r w:rsidRPr="00C27AC0">
        <w:rPr>
          <w:color w:val="000000" w:themeColor="text1"/>
          <w:sz w:val="22"/>
          <w:szCs w:val="22"/>
          <w:shd w:val="clear" w:color="auto" w:fill="FFFFFF"/>
        </w:rPr>
        <w:t xml:space="preserve"> learn best practices for advisors to add value through tax planning when direct tax advice may not be an option. </w:t>
      </w:r>
    </w:p>
    <w:p w14:paraId="2B0D5CEC" w14:textId="77777777" w:rsidR="00DD75DD" w:rsidRDefault="00DD75DD" w:rsidP="00CA7E34">
      <w:pPr>
        <w:pStyle w:val="paragraph"/>
        <w:spacing w:before="0" w:beforeAutospacing="0" w:after="0" w:afterAutospacing="0"/>
        <w:textAlignment w:val="baseline"/>
        <w:rPr>
          <w:color w:val="333333"/>
          <w:sz w:val="22"/>
          <w:szCs w:val="22"/>
          <w:shd w:val="clear" w:color="auto" w:fill="FFFFFF"/>
        </w:rPr>
      </w:pPr>
    </w:p>
    <w:p w14:paraId="2743B9BF" w14:textId="105A9C3F" w:rsidR="00CA7E34" w:rsidRPr="007C3163" w:rsidRDefault="00CA7E34" w:rsidP="00CA7E34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color w:val="000000"/>
          <w:sz w:val="22"/>
          <w:szCs w:val="22"/>
        </w:rPr>
      </w:pPr>
      <w:r w:rsidRPr="007C3163">
        <w:rPr>
          <w:rStyle w:val="normaltextrun"/>
          <w:b/>
          <w:bCs/>
          <w:color w:val="000000"/>
          <w:sz w:val="22"/>
          <w:szCs w:val="22"/>
        </w:rPr>
        <w:t>Learning Objectives:</w:t>
      </w:r>
      <w:r w:rsidRPr="007C3163">
        <w:rPr>
          <w:rStyle w:val="eop"/>
          <w:b/>
          <w:bCs/>
          <w:color w:val="000000"/>
          <w:sz w:val="22"/>
          <w:szCs w:val="22"/>
        </w:rPr>
        <w:t> </w:t>
      </w:r>
    </w:p>
    <w:p w14:paraId="50BFBD4A" w14:textId="77777777" w:rsidR="00CA7E34" w:rsidRPr="00CA7E34" w:rsidRDefault="00CA7E34" w:rsidP="00CA7E34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8455"/>
      </w:tblGrid>
      <w:tr w:rsidR="00CA7E34" w:rsidRPr="00DD75DD" w14:paraId="6814A283" w14:textId="77777777" w:rsidTr="00CA7E34">
        <w:tc>
          <w:tcPr>
            <w:tcW w:w="895" w:type="dxa"/>
          </w:tcPr>
          <w:p w14:paraId="05E60112" w14:textId="651955A2" w:rsidR="00CA7E34" w:rsidRPr="00DD75DD" w:rsidRDefault="00CA7E34" w:rsidP="00CA7E3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000000"/>
                <w:sz w:val="22"/>
                <w:szCs w:val="22"/>
              </w:rPr>
            </w:pPr>
            <w:r w:rsidRPr="00DD75DD">
              <w:rPr>
                <w:rStyle w:val="eop"/>
                <w:color w:val="000000"/>
                <w:sz w:val="22"/>
                <w:szCs w:val="22"/>
              </w:rPr>
              <w:t>L</w:t>
            </w:r>
            <w:r w:rsidRPr="00DD75DD">
              <w:rPr>
                <w:rStyle w:val="eop"/>
                <w:sz w:val="22"/>
                <w:szCs w:val="22"/>
              </w:rPr>
              <w:t>O #1</w:t>
            </w:r>
          </w:p>
        </w:tc>
        <w:tc>
          <w:tcPr>
            <w:tcW w:w="8455" w:type="dxa"/>
          </w:tcPr>
          <w:p w14:paraId="63C3C2CA" w14:textId="20000C8B" w:rsidR="00CA7E34" w:rsidRPr="00DD75DD" w:rsidRDefault="00DD75DD" w:rsidP="00680EC8">
            <w:pPr>
              <w:pStyle w:val="paragraph"/>
              <w:spacing w:after="0"/>
              <w:textAlignment w:val="baseline"/>
              <w:rPr>
                <w:rStyle w:val="eop"/>
                <w:sz w:val="22"/>
                <w:szCs w:val="22"/>
              </w:rPr>
            </w:pPr>
            <w:r w:rsidRPr="00DD75DD">
              <w:rPr>
                <w:sz w:val="22"/>
                <w:szCs w:val="22"/>
              </w:rPr>
              <w:t>List the limitations of providing tax advice as a financial advisor without proper tax practitioner credentials</w:t>
            </w:r>
            <w:r>
              <w:rPr>
                <w:sz w:val="22"/>
                <w:szCs w:val="22"/>
              </w:rPr>
              <w:t>.</w:t>
            </w:r>
          </w:p>
        </w:tc>
      </w:tr>
      <w:tr w:rsidR="00CA7E34" w:rsidRPr="00DD75DD" w14:paraId="053A9AEF" w14:textId="77777777" w:rsidTr="00CA7E34">
        <w:tc>
          <w:tcPr>
            <w:tcW w:w="895" w:type="dxa"/>
          </w:tcPr>
          <w:p w14:paraId="7AAB6157" w14:textId="56C59F36" w:rsidR="00CA7E34" w:rsidRPr="00DD75DD" w:rsidRDefault="00CA7E34" w:rsidP="00CA7E3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000000"/>
                <w:sz w:val="22"/>
                <w:szCs w:val="22"/>
              </w:rPr>
            </w:pPr>
            <w:r w:rsidRPr="00DD75DD">
              <w:rPr>
                <w:rStyle w:val="eop"/>
                <w:color w:val="000000"/>
                <w:sz w:val="22"/>
                <w:szCs w:val="22"/>
              </w:rPr>
              <w:t>L</w:t>
            </w:r>
            <w:r w:rsidRPr="00DD75DD">
              <w:rPr>
                <w:rStyle w:val="eop"/>
                <w:sz w:val="22"/>
                <w:szCs w:val="22"/>
              </w:rPr>
              <w:t>O #2</w:t>
            </w:r>
          </w:p>
        </w:tc>
        <w:tc>
          <w:tcPr>
            <w:tcW w:w="8455" w:type="dxa"/>
          </w:tcPr>
          <w:p w14:paraId="1BC23A13" w14:textId="3CEE01A5" w:rsidR="00CA7E34" w:rsidRPr="00DD75DD" w:rsidRDefault="00DD75DD" w:rsidP="00680EC8">
            <w:pPr>
              <w:pStyle w:val="paragraph"/>
              <w:spacing w:after="0"/>
              <w:textAlignment w:val="baseline"/>
              <w:rPr>
                <w:rStyle w:val="eop"/>
                <w:sz w:val="22"/>
                <w:szCs w:val="22"/>
              </w:rPr>
            </w:pPr>
            <w:r w:rsidRPr="00DD75DD">
              <w:rPr>
                <w:sz w:val="22"/>
                <w:szCs w:val="22"/>
              </w:rPr>
              <w:t>Differentiate between tax planning and tax advice</w:t>
            </w:r>
            <w:r>
              <w:rPr>
                <w:sz w:val="22"/>
                <w:szCs w:val="22"/>
              </w:rPr>
              <w:t>.</w:t>
            </w:r>
          </w:p>
        </w:tc>
      </w:tr>
      <w:tr w:rsidR="005C02EC" w:rsidRPr="00DD75DD" w14:paraId="4CC76966" w14:textId="77777777" w:rsidTr="00CA7E34">
        <w:tc>
          <w:tcPr>
            <w:tcW w:w="895" w:type="dxa"/>
          </w:tcPr>
          <w:p w14:paraId="53DB158F" w14:textId="231D672B" w:rsidR="005C02EC" w:rsidRPr="00DD75DD" w:rsidRDefault="005C02EC" w:rsidP="005C02E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000000"/>
                <w:sz w:val="22"/>
                <w:szCs w:val="22"/>
              </w:rPr>
            </w:pPr>
            <w:r w:rsidRPr="00DD75DD">
              <w:rPr>
                <w:rStyle w:val="eop"/>
                <w:color w:val="000000"/>
                <w:sz w:val="22"/>
                <w:szCs w:val="22"/>
              </w:rPr>
              <w:t>L</w:t>
            </w:r>
            <w:r w:rsidRPr="00DD75DD">
              <w:rPr>
                <w:rStyle w:val="eop"/>
                <w:sz w:val="22"/>
                <w:szCs w:val="22"/>
              </w:rPr>
              <w:t>O #3</w:t>
            </w:r>
          </w:p>
        </w:tc>
        <w:tc>
          <w:tcPr>
            <w:tcW w:w="8455" w:type="dxa"/>
          </w:tcPr>
          <w:p w14:paraId="16D6E2CC" w14:textId="28499458" w:rsidR="005C02EC" w:rsidRPr="00DD75DD" w:rsidRDefault="00E4209A" w:rsidP="005C02EC">
            <w:pPr>
              <w:pStyle w:val="paragrap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Identify </w:t>
            </w:r>
            <w:r w:rsidRPr="00E4209A">
              <w:rPr>
                <w:sz w:val="22"/>
                <w:szCs w:val="22"/>
              </w:rPr>
              <w:t>the best practices for establishing procedures and oversight mechanisms to ensure competent and client-centric tax advice, reducing potential liability risks and enhancing the quality of service provided.</w:t>
            </w:r>
          </w:p>
        </w:tc>
      </w:tr>
      <w:tr w:rsidR="005C02EC" w:rsidRPr="00DD75DD" w14:paraId="3A4AB22B" w14:textId="77777777" w:rsidTr="00CA7E34">
        <w:tc>
          <w:tcPr>
            <w:tcW w:w="895" w:type="dxa"/>
          </w:tcPr>
          <w:p w14:paraId="345686DC" w14:textId="3A0BB03E" w:rsidR="005C02EC" w:rsidRPr="00DD75DD" w:rsidRDefault="005C02EC" w:rsidP="005C02E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000000"/>
                <w:sz w:val="22"/>
                <w:szCs w:val="22"/>
              </w:rPr>
            </w:pPr>
            <w:r w:rsidRPr="00DD75DD">
              <w:rPr>
                <w:rStyle w:val="eop"/>
                <w:color w:val="000000"/>
                <w:sz w:val="22"/>
                <w:szCs w:val="22"/>
              </w:rPr>
              <w:t>LO #4</w:t>
            </w:r>
          </w:p>
        </w:tc>
        <w:tc>
          <w:tcPr>
            <w:tcW w:w="8455" w:type="dxa"/>
          </w:tcPr>
          <w:p w14:paraId="76807D0F" w14:textId="5D535F2C" w:rsidR="005C02EC" w:rsidRPr="00DD75DD" w:rsidRDefault="00E4209A" w:rsidP="005C02EC">
            <w:pPr>
              <w:pStyle w:val="paragraph"/>
              <w:textAlignment w:val="baseline"/>
              <w:rPr>
                <w:rStyle w:val="eop"/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E4209A">
              <w:rPr>
                <w:sz w:val="22"/>
                <w:szCs w:val="22"/>
              </w:rPr>
              <w:t>ssess potential gaps in tax advice offering</w:t>
            </w:r>
            <w:r>
              <w:rPr>
                <w:sz w:val="22"/>
                <w:szCs w:val="22"/>
              </w:rPr>
              <w:t>.</w:t>
            </w:r>
          </w:p>
        </w:tc>
      </w:tr>
      <w:tr w:rsidR="005C02EC" w:rsidRPr="00DD75DD" w14:paraId="22729C66" w14:textId="77777777" w:rsidTr="00CA7E34">
        <w:tc>
          <w:tcPr>
            <w:tcW w:w="895" w:type="dxa"/>
          </w:tcPr>
          <w:p w14:paraId="5EA1F010" w14:textId="6D750945" w:rsidR="005C02EC" w:rsidRPr="00DD75DD" w:rsidRDefault="005C02EC" w:rsidP="005C02E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000000"/>
                <w:sz w:val="22"/>
                <w:szCs w:val="22"/>
              </w:rPr>
            </w:pPr>
            <w:r w:rsidRPr="00DD75DD">
              <w:rPr>
                <w:rStyle w:val="eop"/>
                <w:color w:val="000000"/>
                <w:sz w:val="22"/>
                <w:szCs w:val="22"/>
              </w:rPr>
              <w:t>LO #5</w:t>
            </w:r>
          </w:p>
        </w:tc>
        <w:tc>
          <w:tcPr>
            <w:tcW w:w="8455" w:type="dxa"/>
          </w:tcPr>
          <w:p w14:paraId="05838ADB" w14:textId="51A6B3FD" w:rsidR="005C02EC" w:rsidRPr="00E4209A" w:rsidRDefault="00E4209A" w:rsidP="005C02EC">
            <w:pPr>
              <w:pStyle w:val="paragraph"/>
              <w:textAlignment w:val="baseline"/>
              <w:rPr>
                <w:rStyle w:val="eop"/>
                <w:sz w:val="22"/>
                <w:szCs w:val="22"/>
              </w:rPr>
            </w:pPr>
            <w:r w:rsidRPr="00E4209A">
              <w:rPr>
                <w:rStyle w:val="eop"/>
                <w:sz w:val="22"/>
                <w:szCs w:val="22"/>
              </w:rPr>
              <w:t xml:space="preserve">Determine </w:t>
            </w:r>
            <w:r w:rsidRPr="00E4209A">
              <w:rPr>
                <w:sz w:val="22"/>
                <w:szCs w:val="22"/>
              </w:rPr>
              <w:t>best practices to add value with tax planning when giving tax advice isn’t an option</w:t>
            </w:r>
            <w:r w:rsidR="00EC5649">
              <w:rPr>
                <w:sz w:val="22"/>
                <w:szCs w:val="22"/>
              </w:rPr>
              <w:t>.</w:t>
            </w:r>
          </w:p>
        </w:tc>
      </w:tr>
    </w:tbl>
    <w:p w14:paraId="0A6831E8" w14:textId="5BEA5810" w:rsidR="00CA7E34" w:rsidRPr="00CA7E34" w:rsidRDefault="00CA7E34" w:rsidP="633307D1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633307D1">
        <w:rPr>
          <w:rStyle w:val="eop"/>
          <w:color w:val="000000" w:themeColor="text1"/>
          <w:sz w:val="22"/>
          <w:szCs w:val="22"/>
        </w:rPr>
        <w:t>  </w:t>
      </w:r>
    </w:p>
    <w:p w14:paraId="5A4F50AB" w14:textId="77777777" w:rsidR="00CA7E34" w:rsidRPr="007C3163" w:rsidRDefault="00CA7E34" w:rsidP="00CA7E34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</w:rPr>
      </w:pPr>
      <w:r w:rsidRPr="007C3163">
        <w:rPr>
          <w:rStyle w:val="normaltextrun"/>
          <w:b/>
          <w:bCs/>
          <w:color w:val="000000"/>
          <w:sz w:val="22"/>
          <w:szCs w:val="22"/>
        </w:rPr>
        <w:t>Level of Complexity:</w:t>
      </w:r>
      <w:r w:rsidRPr="007C3163">
        <w:rPr>
          <w:rStyle w:val="eop"/>
          <w:b/>
          <w:bCs/>
          <w:color w:val="000000"/>
          <w:sz w:val="22"/>
          <w:szCs w:val="22"/>
        </w:rPr>
        <w:t> </w:t>
      </w:r>
    </w:p>
    <w:p w14:paraId="2FD6A396" w14:textId="77777777" w:rsidR="00CA7E34" w:rsidRPr="00CA7E34" w:rsidRDefault="00CA7E34" w:rsidP="00CA7E34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A7E34">
        <w:rPr>
          <w:rStyle w:val="normaltextrun"/>
          <w:color w:val="000000"/>
          <w:sz w:val="22"/>
          <w:szCs w:val="22"/>
        </w:rPr>
        <w:t>-CFP/IMCA: Intermediate</w:t>
      </w:r>
      <w:r w:rsidRPr="00CA7E34">
        <w:rPr>
          <w:rStyle w:val="eop"/>
          <w:color w:val="000000"/>
          <w:sz w:val="22"/>
          <w:szCs w:val="22"/>
        </w:rPr>
        <w:t> </w:t>
      </w:r>
    </w:p>
    <w:p w14:paraId="584E87CF" w14:textId="77777777" w:rsidR="00CA7E34" w:rsidRPr="00CA7E34" w:rsidRDefault="00CA7E34" w:rsidP="00CA7E34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A7E34">
        <w:rPr>
          <w:rStyle w:val="normaltextrun"/>
          <w:color w:val="000000"/>
          <w:sz w:val="22"/>
          <w:szCs w:val="22"/>
        </w:rPr>
        <w:t>-NASBA: Basic</w:t>
      </w:r>
      <w:r w:rsidRPr="00CA7E34">
        <w:rPr>
          <w:rStyle w:val="eop"/>
          <w:color w:val="000000"/>
          <w:sz w:val="22"/>
          <w:szCs w:val="22"/>
        </w:rPr>
        <w:t> </w:t>
      </w:r>
    </w:p>
    <w:p w14:paraId="57BCF3A1" w14:textId="77777777" w:rsidR="00CA7E34" w:rsidRPr="00CA7E34" w:rsidRDefault="00CA7E34" w:rsidP="00CA7E34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A7E34">
        <w:rPr>
          <w:rStyle w:val="eop"/>
          <w:color w:val="000000"/>
          <w:sz w:val="22"/>
          <w:szCs w:val="22"/>
        </w:rPr>
        <w:t> </w:t>
      </w:r>
    </w:p>
    <w:p w14:paraId="06DB42C1" w14:textId="77777777" w:rsidR="00CA7E34" w:rsidRPr="007C3163" w:rsidRDefault="00CA7E34" w:rsidP="00CA7E34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</w:rPr>
      </w:pPr>
      <w:r w:rsidRPr="007C3163">
        <w:rPr>
          <w:rStyle w:val="normaltextrun"/>
          <w:b/>
          <w:bCs/>
          <w:color w:val="000000"/>
          <w:sz w:val="22"/>
          <w:szCs w:val="22"/>
        </w:rPr>
        <w:t>How hours are determined:</w:t>
      </w:r>
      <w:r w:rsidRPr="007C3163">
        <w:rPr>
          <w:rStyle w:val="eop"/>
          <w:b/>
          <w:bCs/>
          <w:color w:val="000000"/>
          <w:sz w:val="22"/>
          <w:szCs w:val="22"/>
        </w:rPr>
        <w:t> </w:t>
      </w:r>
    </w:p>
    <w:p w14:paraId="249CA2BB" w14:textId="77777777" w:rsidR="00CA7E34" w:rsidRPr="00CA7E34" w:rsidRDefault="00CA7E34" w:rsidP="00CA7E34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A7E34">
        <w:rPr>
          <w:rStyle w:val="normaltextrun"/>
          <w:color w:val="000000"/>
          <w:sz w:val="22"/>
          <w:szCs w:val="22"/>
        </w:rPr>
        <w:t>Length of presentation – 50 minutes</w:t>
      </w:r>
      <w:r w:rsidRPr="00CA7E34">
        <w:rPr>
          <w:rStyle w:val="eop"/>
          <w:color w:val="000000"/>
          <w:sz w:val="22"/>
          <w:szCs w:val="22"/>
        </w:rPr>
        <w:t> </w:t>
      </w:r>
    </w:p>
    <w:p w14:paraId="281BB7C0" w14:textId="77777777" w:rsidR="00CA7E34" w:rsidRPr="00CA7E34" w:rsidRDefault="00CA7E34" w:rsidP="00CA7E34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A7E34">
        <w:rPr>
          <w:rStyle w:val="eop"/>
          <w:color w:val="000000"/>
          <w:sz w:val="22"/>
          <w:szCs w:val="22"/>
        </w:rPr>
        <w:t> </w:t>
      </w:r>
    </w:p>
    <w:p w14:paraId="4A651618" w14:textId="77777777" w:rsidR="00CA7E34" w:rsidRPr="007C3163" w:rsidRDefault="00CA7E34" w:rsidP="00CA7E34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</w:rPr>
      </w:pPr>
      <w:r w:rsidRPr="007C3163">
        <w:rPr>
          <w:rStyle w:val="normaltextrun"/>
          <w:b/>
          <w:bCs/>
          <w:color w:val="000000"/>
          <w:sz w:val="22"/>
          <w:szCs w:val="22"/>
        </w:rPr>
        <w:t>Topic Areas:</w:t>
      </w:r>
      <w:r w:rsidRPr="007C3163">
        <w:rPr>
          <w:rStyle w:val="eop"/>
          <w:b/>
          <w:bCs/>
          <w:color w:val="000000"/>
          <w:sz w:val="22"/>
          <w:szCs w:val="22"/>
        </w:rPr>
        <w:t> </w:t>
      </w:r>
    </w:p>
    <w:p w14:paraId="230D6C4A" w14:textId="25F3C4C7" w:rsidR="00CA7E34" w:rsidRPr="00CA7E34" w:rsidRDefault="00CA7E34" w:rsidP="00CA7E34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A7E34">
        <w:rPr>
          <w:rStyle w:val="normaltextrun"/>
          <w:color w:val="000000"/>
          <w:sz w:val="22"/>
          <w:szCs w:val="22"/>
        </w:rPr>
        <w:t xml:space="preserve">-CFP: </w:t>
      </w:r>
      <w:r w:rsidR="00680EC8">
        <w:rPr>
          <w:rStyle w:val="normaltextrun"/>
          <w:color w:val="000000"/>
          <w:sz w:val="22"/>
          <w:szCs w:val="22"/>
        </w:rPr>
        <w:t>Professional Conduct and Regulation</w:t>
      </w:r>
      <w:r w:rsidRPr="00CA7E34">
        <w:rPr>
          <w:rStyle w:val="eop"/>
          <w:color w:val="000000"/>
          <w:sz w:val="22"/>
          <w:szCs w:val="22"/>
        </w:rPr>
        <w:t> </w:t>
      </w:r>
    </w:p>
    <w:p w14:paraId="550016FE" w14:textId="77777777" w:rsidR="00CA7E34" w:rsidRPr="00CA7E34" w:rsidRDefault="00CA7E34" w:rsidP="00CA7E34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2F1E79">
        <w:rPr>
          <w:rStyle w:val="normaltextrun"/>
          <w:color w:val="000000"/>
          <w:sz w:val="22"/>
          <w:szCs w:val="22"/>
        </w:rPr>
        <w:t>-NASBA: Specialized Knowledge (Personal Financial Planning)</w:t>
      </w:r>
      <w:r w:rsidRPr="00CA7E34">
        <w:rPr>
          <w:rStyle w:val="eop"/>
          <w:color w:val="000000"/>
          <w:sz w:val="22"/>
          <w:szCs w:val="22"/>
        </w:rPr>
        <w:t> </w:t>
      </w:r>
    </w:p>
    <w:p w14:paraId="7F7EEC61" w14:textId="77777777" w:rsidR="00CA7E34" w:rsidRPr="00CA7E34" w:rsidRDefault="00CA7E34" w:rsidP="00CA7E34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A7E34">
        <w:rPr>
          <w:rStyle w:val="eop"/>
          <w:color w:val="000000"/>
          <w:sz w:val="22"/>
          <w:szCs w:val="22"/>
        </w:rPr>
        <w:t> </w:t>
      </w:r>
    </w:p>
    <w:p w14:paraId="433F4AD6" w14:textId="77777777" w:rsidR="00CA7E34" w:rsidRPr="007C3163" w:rsidRDefault="00CA7E34" w:rsidP="00CA7E34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</w:rPr>
      </w:pPr>
      <w:r w:rsidRPr="007C3163">
        <w:rPr>
          <w:rStyle w:val="normaltextrun"/>
          <w:b/>
          <w:bCs/>
          <w:color w:val="000000"/>
          <w:sz w:val="22"/>
          <w:szCs w:val="22"/>
        </w:rPr>
        <w:t>Hour(s) of CE:</w:t>
      </w:r>
      <w:r w:rsidRPr="007C3163">
        <w:rPr>
          <w:rStyle w:val="eop"/>
          <w:b/>
          <w:bCs/>
          <w:color w:val="000000"/>
          <w:sz w:val="22"/>
          <w:szCs w:val="22"/>
        </w:rPr>
        <w:t> </w:t>
      </w:r>
    </w:p>
    <w:p w14:paraId="6E26C87C" w14:textId="425F2F61" w:rsidR="00CA7E34" w:rsidRPr="002F1E79" w:rsidRDefault="00CA7E34" w:rsidP="00CA7E34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2F1E79">
        <w:rPr>
          <w:rStyle w:val="normaltextrun"/>
          <w:color w:val="000000"/>
          <w:sz w:val="22"/>
          <w:szCs w:val="22"/>
        </w:rPr>
        <w:t xml:space="preserve">-CFP: </w:t>
      </w:r>
      <w:r w:rsidR="005C02EC" w:rsidRPr="002F1E79">
        <w:rPr>
          <w:rStyle w:val="normaltextrun"/>
          <w:color w:val="000000"/>
          <w:sz w:val="22"/>
          <w:szCs w:val="22"/>
        </w:rPr>
        <w:t>1</w:t>
      </w:r>
    </w:p>
    <w:p w14:paraId="60E62798" w14:textId="3D0236A3" w:rsidR="00CA7E34" w:rsidRPr="002F1E79" w:rsidRDefault="00CA7E34" w:rsidP="00CA7E34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2F1E79">
        <w:rPr>
          <w:rStyle w:val="normaltextrun"/>
          <w:color w:val="000000"/>
          <w:sz w:val="22"/>
          <w:szCs w:val="22"/>
        </w:rPr>
        <w:t xml:space="preserve">-IWI Financial Planning: </w:t>
      </w:r>
      <w:r w:rsidR="007C3163" w:rsidRPr="002F1E79">
        <w:rPr>
          <w:rStyle w:val="normaltextrun"/>
          <w:color w:val="000000"/>
          <w:sz w:val="22"/>
          <w:szCs w:val="22"/>
        </w:rPr>
        <w:t>0</w:t>
      </w:r>
      <w:r w:rsidRPr="002F1E79">
        <w:rPr>
          <w:rStyle w:val="eop"/>
          <w:color w:val="000000"/>
          <w:sz w:val="22"/>
          <w:szCs w:val="22"/>
        </w:rPr>
        <w:t> </w:t>
      </w:r>
    </w:p>
    <w:p w14:paraId="7889D772" w14:textId="77777777" w:rsidR="00CA7E34" w:rsidRPr="002F1E79" w:rsidRDefault="00CA7E34" w:rsidP="00CA7E34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2F1E79">
        <w:rPr>
          <w:rStyle w:val="normaltextrun"/>
          <w:color w:val="000000"/>
          <w:sz w:val="22"/>
          <w:szCs w:val="22"/>
        </w:rPr>
        <w:t>-IWI Tax &amp; Regulation: 0</w:t>
      </w:r>
      <w:r w:rsidRPr="002F1E79">
        <w:rPr>
          <w:rStyle w:val="eop"/>
          <w:color w:val="000000"/>
          <w:sz w:val="22"/>
          <w:szCs w:val="22"/>
        </w:rPr>
        <w:t> </w:t>
      </w:r>
    </w:p>
    <w:p w14:paraId="5B1B1976" w14:textId="785A4C7A" w:rsidR="00CA7E34" w:rsidRPr="002F1E79" w:rsidRDefault="00CA7E34" w:rsidP="00CA7E34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2F1E79">
        <w:rPr>
          <w:rStyle w:val="normaltextrun"/>
          <w:color w:val="000000"/>
          <w:sz w:val="22"/>
          <w:szCs w:val="22"/>
        </w:rPr>
        <w:t xml:space="preserve">-IWI Ethics: </w:t>
      </w:r>
      <w:r w:rsidR="005C02EC" w:rsidRPr="002F1E79">
        <w:rPr>
          <w:rStyle w:val="normaltextrun"/>
          <w:color w:val="000000"/>
          <w:sz w:val="22"/>
          <w:szCs w:val="22"/>
        </w:rPr>
        <w:t>1</w:t>
      </w:r>
    </w:p>
    <w:p w14:paraId="39ACB72F" w14:textId="76E21DD7" w:rsidR="00CA7E34" w:rsidRPr="00CA7E34" w:rsidRDefault="00CA7E34" w:rsidP="00CA7E34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2F1E79">
        <w:rPr>
          <w:rStyle w:val="normaltextrun"/>
          <w:color w:val="000000"/>
          <w:sz w:val="22"/>
          <w:szCs w:val="22"/>
        </w:rPr>
        <w:lastRenderedPageBreak/>
        <w:t xml:space="preserve">-NASBA (CPE/CE/CFP): </w:t>
      </w:r>
      <w:r w:rsidR="005C02EC" w:rsidRPr="002F1E79">
        <w:rPr>
          <w:rStyle w:val="normaltextrun"/>
          <w:color w:val="000000"/>
          <w:sz w:val="22"/>
          <w:szCs w:val="22"/>
        </w:rPr>
        <w:t>1</w:t>
      </w:r>
    </w:p>
    <w:p w14:paraId="6CD59A9D" w14:textId="77777777" w:rsidR="00CA7E34" w:rsidRDefault="00CA7E34" w:rsidP="00CA7E34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2"/>
          <w:szCs w:val="22"/>
        </w:rPr>
      </w:pPr>
    </w:p>
    <w:p w14:paraId="31FC4E75" w14:textId="2AE34B89" w:rsidR="00CA7E34" w:rsidRPr="007C3163" w:rsidRDefault="00CA7E34" w:rsidP="00CA7E34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</w:rPr>
      </w:pPr>
      <w:r w:rsidRPr="007C3163">
        <w:rPr>
          <w:rStyle w:val="normaltextrun"/>
          <w:b/>
          <w:bCs/>
          <w:color w:val="000000"/>
          <w:sz w:val="22"/>
          <w:szCs w:val="22"/>
        </w:rPr>
        <w:t>Outline:</w:t>
      </w:r>
      <w:r w:rsidRPr="007C3163">
        <w:rPr>
          <w:rStyle w:val="eop"/>
          <w:b/>
          <w:bCs/>
          <w:color w:val="000000"/>
          <w:sz w:val="22"/>
          <w:szCs w:val="22"/>
        </w:rPr>
        <w:t> </w:t>
      </w:r>
    </w:p>
    <w:p w14:paraId="33BA5A7A" w14:textId="77777777" w:rsidR="00CA7E34" w:rsidRDefault="00CA7E34" w:rsidP="00CA7E34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2"/>
          <w:szCs w:val="22"/>
        </w:rPr>
      </w:pPr>
    </w:p>
    <w:tbl>
      <w:tblPr>
        <w:tblStyle w:val="TableGrid"/>
        <w:tblW w:w="9376" w:type="dxa"/>
        <w:tblLook w:val="04A0" w:firstRow="1" w:lastRow="0" w:firstColumn="1" w:lastColumn="0" w:noHBand="0" w:noVBand="1"/>
      </w:tblPr>
      <w:tblGrid>
        <w:gridCol w:w="1075"/>
        <w:gridCol w:w="7200"/>
        <w:gridCol w:w="1101"/>
      </w:tblGrid>
      <w:tr w:rsidR="00E4209A" w:rsidRPr="00CA7E34" w14:paraId="5AD4295B" w14:textId="7CAEA965" w:rsidTr="00AB1F9E">
        <w:trPr>
          <w:trHeight w:val="271"/>
        </w:trPr>
        <w:tc>
          <w:tcPr>
            <w:tcW w:w="1075" w:type="dxa"/>
          </w:tcPr>
          <w:p w14:paraId="3700C071" w14:textId="77777777" w:rsidR="00E4209A" w:rsidRPr="00CA7E34" w:rsidRDefault="00E4209A" w:rsidP="00E4209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000000"/>
                <w:sz w:val="22"/>
                <w:szCs w:val="22"/>
              </w:rPr>
            </w:pPr>
            <w:r w:rsidRPr="00CA7E34">
              <w:rPr>
                <w:rStyle w:val="eop"/>
                <w:color w:val="000000"/>
                <w:sz w:val="22"/>
                <w:szCs w:val="22"/>
              </w:rPr>
              <w:t>L</w:t>
            </w:r>
            <w:r w:rsidRPr="00CA7E34">
              <w:rPr>
                <w:rStyle w:val="eop"/>
                <w:sz w:val="22"/>
                <w:szCs w:val="22"/>
              </w:rPr>
              <w:t>O #1</w:t>
            </w:r>
          </w:p>
        </w:tc>
        <w:tc>
          <w:tcPr>
            <w:tcW w:w="7200" w:type="dxa"/>
          </w:tcPr>
          <w:p w14:paraId="32E37389" w14:textId="12A35144" w:rsidR="00E4209A" w:rsidRPr="00CA7E34" w:rsidRDefault="00E4209A" w:rsidP="00E4209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000000"/>
                <w:sz w:val="22"/>
                <w:szCs w:val="22"/>
              </w:rPr>
            </w:pPr>
            <w:r w:rsidRPr="00DD75DD">
              <w:rPr>
                <w:sz w:val="22"/>
                <w:szCs w:val="22"/>
              </w:rPr>
              <w:t>List the limitations of providing tax advice as a financial advisor without proper tax practitioner credentials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01" w:type="dxa"/>
          </w:tcPr>
          <w:p w14:paraId="53A586C5" w14:textId="1FD93513" w:rsidR="00E4209A" w:rsidRPr="00CA7E34" w:rsidRDefault="00E4209A" w:rsidP="00E4209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000000"/>
                <w:sz w:val="22"/>
                <w:szCs w:val="22"/>
              </w:rPr>
            </w:pPr>
            <w:r>
              <w:rPr>
                <w:rStyle w:val="eop"/>
                <w:color w:val="000000"/>
                <w:sz w:val="22"/>
                <w:szCs w:val="22"/>
              </w:rPr>
              <w:t>5</w:t>
            </w:r>
          </w:p>
        </w:tc>
      </w:tr>
      <w:tr w:rsidR="00E4209A" w:rsidRPr="00CA7E34" w14:paraId="459B08AD" w14:textId="10300FCE" w:rsidTr="00AB1F9E">
        <w:trPr>
          <w:trHeight w:val="284"/>
        </w:trPr>
        <w:tc>
          <w:tcPr>
            <w:tcW w:w="1075" w:type="dxa"/>
          </w:tcPr>
          <w:p w14:paraId="1843790E" w14:textId="77777777" w:rsidR="00E4209A" w:rsidRPr="00CA7E34" w:rsidRDefault="00E4209A" w:rsidP="00E4209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000000"/>
                <w:sz w:val="22"/>
                <w:szCs w:val="22"/>
              </w:rPr>
            </w:pPr>
            <w:r w:rsidRPr="00CA7E34">
              <w:rPr>
                <w:rStyle w:val="eop"/>
                <w:color w:val="000000"/>
                <w:sz w:val="22"/>
                <w:szCs w:val="22"/>
              </w:rPr>
              <w:t>L</w:t>
            </w:r>
            <w:r w:rsidRPr="00CA7E34">
              <w:rPr>
                <w:rStyle w:val="eop"/>
                <w:sz w:val="22"/>
                <w:szCs w:val="22"/>
              </w:rPr>
              <w:t>O #2</w:t>
            </w:r>
          </w:p>
        </w:tc>
        <w:tc>
          <w:tcPr>
            <w:tcW w:w="7200" w:type="dxa"/>
          </w:tcPr>
          <w:p w14:paraId="6F87BE43" w14:textId="00071810" w:rsidR="00E4209A" w:rsidRPr="00CA7E34" w:rsidRDefault="00E4209A" w:rsidP="00E4209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000000"/>
                <w:sz w:val="22"/>
                <w:szCs w:val="22"/>
              </w:rPr>
            </w:pPr>
            <w:r w:rsidRPr="00DD75DD">
              <w:rPr>
                <w:sz w:val="22"/>
                <w:szCs w:val="22"/>
              </w:rPr>
              <w:t>Differentiate between tax planning and tax advice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01" w:type="dxa"/>
          </w:tcPr>
          <w:p w14:paraId="1EDB1C51" w14:textId="2C2E3A9F" w:rsidR="00E4209A" w:rsidRPr="00CA7E34" w:rsidRDefault="00E4209A" w:rsidP="00E4209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000000"/>
                <w:sz w:val="22"/>
                <w:szCs w:val="22"/>
              </w:rPr>
            </w:pPr>
            <w:r>
              <w:rPr>
                <w:rStyle w:val="eop"/>
                <w:color w:val="000000"/>
                <w:sz w:val="22"/>
                <w:szCs w:val="22"/>
              </w:rPr>
              <w:t>5</w:t>
            </w:r>
          </w:p>
        </w:tc>
      </w:tr>
      <w:tr w:rsidR="00E4209A" w:rsidRPr="00CA7E34" w14:paraId="7FF214CD" w14:textId="56DA1808" w:rsidTr="00AB1F9E">
        <w:trPr>
          <w:trHeight w:val="271"/>
        </w:trPr>
        <w:tc>
          <w:tcPr>
            <w:tcW w:w="1075" w:type="dxa"/>
          </w:tcPr>
          <w:p w14:paraId="67A8A3E5" w14:textId="77777777" w:rsidR="00E4209A" w:rsidRPr="00CA7E34" w:rsidRDefault="00E4209A" w:rsidP="00E4209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000000"/>
                <w:sz w:val="22"/>
                <w:szCs w:val="22"/>
              </w:rPr>
            </w:pPr>
            <w:r w:rsidRPr="00CA7E34">
              <w:rPr>
                <w:rStyle w:val="eop"/>
                <w:color w:val="000000"/>
                <w:sz w:val="22"/>
                <w:szCs w:val="22"/>
              </w:rPr>
              <w:t>L</w:t>
            </w:r>
            <w:r w:rsidRPr="00CA7E34">
              <w:rPr>
                <w:rStyle w:val="eop"/>
                <w:sz w:val="22"/>
                <w:szCs w:val="22"/>
              </w:rPr>
              <w:t>O #3</w:t>
            </w:r>
          </w:p>
        </w:tc>
        <w:tc>
          <w:tcPr>
            <w:tcW w:w="7200" w:type="dxa"/>
          </w:tcPr>
          <w:p w14:paraId="4BA47A3B" w14:textId="5796B56D" w:rsidR="00E4209A" w:rsidRPr="00CA7E34" w:rsidRDefault="00E4209A" w:rsidP="00E4209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Identify </w:t>
            </w:r>
            <w:r w:rsidRPr="00E4209A">
              <w:rPr>
                <w:sz w:val="22"/>
                <w:szCs w:val="22"/>
              </w:rPr>
              <w:t>the best practices for establishing procedures and oversight mechanisms to ensure competent and client-centric tax advice, reducing potential liability risks and enhancing the quality of service provided.</w:t>
            </w:r>
          </w:p>
        </w:tc>
        <w:tc>
          <w:tcPr>
            <w:tcW w:w="1101" w:type="dxa"/>
          </w:tcPr>
          <w:p w14:paraId="07D8C520" w14:textId="39BE1C3F" w:rsidR="00E4209A" w:rsidRPr="00CA7E34" w:rsidRDefault="00E4209A" w:rsidP="00E4209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000000"/>
                <w:sz w:val="22"/>
                <w:szCs w:val="22"/>
              </w:rPr>
            </w:pPr>
            <w:r>
              <w:rPr>
                <w:rStyle w:val="eop"/>
                <w:color w:val="000000"/>
                <w:sz w:val="22"/>
                <w:szCs w:val="22"/>
              </w:rPr>
              <w:t>20</w:t>
            </w:r>
          </w:p>
        </w:tc>
      </w:tr>
      <w:tr w:rsidR="00E4209A" w:rsidRPr="00CA7E34" w14:paraId="66E94B6A" w14:textId="220F046A" w:rsidTr="00AB1F9E">
        <w:trPr>
          <w:trHeight w:val="271"/>
        </w:trPr>
        <w:tc>
          <w:tcPr>
            <w:tcW w:w="1075" w:type="dxa"/>
          </w:tcPr>
          <w:p w14:paraId="051507D8" w14:textId="77777777" w:rsidR="00E4209A" w:rsidRPr="00CA7E34" w:rsidRDefault="00E4209A" w:rsidP="00E4209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000000"/>
                <w:sz w:val="22"/>
                <w:szCs w:val="22"/>
              </w:rPr>
            </w:pPr>
            <w:r w:rsidRPr="00CA7E34">
              <w:rPr>
                <w:rStyle w:val="eop"/>
                <w:color w:val="000000"/>
                <w:sz w:val="22"/>
                <w:szCs w:val="22"/>
              </w:rPr>
              <w:t>LO #4</w:t>
            </w:r>
          </w:p>
        </w:tc>
        <w:tc>
          <w:tcPr>
            <w:tcW w:w="7200" w:type="dxa"/>
          </w:tcPr>
          <w:p w14:paraId="12DA9741" w14:textId="5F029AB6" w:rsidR="00E4209A" w:rsidRPr="00CA7E34" w:rsidRDefault="00E4209A" w:rsidP="00E4209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E4209A">
              <w:rPr>
                <w:sz w:val="22"/>
                <w:szCs w:val="22"/>
              </w:rPr>
              <w:t>ssess potential gaps in tax advice offering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01" w:type="dxa"/>
          </w:tcPr>
          <w:p w14:paraId="35291B4B" w14:textId="4F7F05A1" w:rsidR="00E4209A" w:rsidRPr="00CA7E34" w:rsidRDefault="00E4209A" w:rsidP="00E4209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000000"/>
                <w:sz w:val="22"/>
                <w:szCs w:val="22"/>
              </w:rPr>
            </w:pPr>
            <w:r>
              <w:rPr>
                <w:rStyle w:val="eop"/>
                <w:color w:val="000000"/>
                <w:sz w:val="22"/>
                <w:szCs w:val="22"/>
              </w:rPr>
              <w:t>1</w:t>
            </w:r>
            <w:r>
              <w:rPr>
                <w:rStyle w:val="eop"/>
              </w:rPr>
              <w:t>0</w:t>
            </w:r>
          </w:p>
        </w:tc>
      </w:tr>
      <w:tr w:rsidR="00E4209A" w:rsidRPr="00CA7E34" w14:paraId="4973DE39" w14:textId="0508DC59" w:rsidTr="00AB1F9E">
        <w:trPr>
          <w:trHeight w:val="271"/>
        </w:trPr>
        <w:tc>
          <w:tcPr>
            <w:tcW w:w="1075" w:type="dxa"/>
          </w:tcPr>
          <w:p w14:paraId="1EFF0132" w14:textId="77777777" w:rsidR="00E4209A" w:rsidRPr="00CA7E34" w:rsidRDefault="00E4209A" w:rsidP="00E4209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000000"/>
                <w:sz w:val="22"/>
                <w:szCs w:val="22"/>
              </w:rPr>
            </w:pPr>
            <w:r w:rsidRPr="00CA7E34">
              <w:rPr>
                <w:rStyle w:val="eop"/>
                <w:color w:val="000000"/>
                <w:sz w:val="22"/>
                <w:szCs w:val="22"/>
              </w:rPr>
              <w:t>LO #5</w:t>
            </w:r>
          </w:p>
        </w:tc>
        <w:tc>
          <w:tcPr>
            <w:tcW w:w="7200" w:type="dxa"/>
          </w:tcPr>
          <w:p w14:paraId="37DD8CEB" w14:textId="3602EC76" w:rsidR="00E4209A" w:rsidRPr="00CA7E34" w:rsidRDefault="00E4209A" w:rsidP="00E4209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000000"/>
                <w:sz w:val="22"/>
                <w:szCs w:val="22"/>
              </w:rPr>
            </w:pPr>
            <w:r w:rsidRPr="00E4209A">
              <w:rPr>
                <w:rStyle w:val="eop"/>
                <w:sz w:val="22"/>
                <w:szCs w:val="22"/>
              </w:rPr>
              <w:t xml:space="preserve">Determine </w:t>
            </w:r>
            <w:r w:rsidRPr="00E4209A">
              <w:rPr>
                <w:sz w:val="22"/>
                <w:szCs w:val="22"/>
              </w:rPr>
              <w:t>best practices</w:t>
            </w:r>
            <w:r w:rsidR="00EC5649">
              <w:rPr>
                <w:sz w:val="22"/>
                <w:szCs w:val="22"/>
              </w:rPr>
              <w:t xml:space="preserve"> </w:t>
            </w:r>
            <w:r w:rsidRPr="00E4209A">
              <w:rPr>
                <w:sz w:val="22"/>
                <w:szCs w:val="22"/>
              </w:rPr>
              <w:t>to add value with tax planning when giving tax advice isn’t an option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01" w:type="dxa"/>
          </w:tcPr>
          <w:p w14:paraId="3FF9FC7A" w14:textId="54842262" w:rsidR="00E4209A" w:rsidRPr="00CA7E34" w:rsidRDefault="00E4209A" w:rsidP="00E4209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000000"/>
                <w:sz w:val="22"/>
                <w:szCs w:val="22"/>
              </w:rPr>
            </w:pPr>
            <w:r>
              <w:rPr>
                <w:rStyle w:val="eop"/>
                <w:color w:val="000000"/>
                <w:sz w:val="22"/>
                <w:szCs w:val="22"/>
              </w:rPr>
              <w:t>10</w:t>
            </w:r>
          </w:p>
        </w:tc>
      </w:tr>
      <w:tr w:rsidR="00550D13" w:rsidRPr="00CA7E34" w14:paraId="187FF565" w14:textId="77777777" w:rsidTr="004B1046">
        <w:trPr>
          <w:trHeight w:val="271"/>
        </w:trPr>
        <w:tc>
          <w:tcPr>
            <w:tcW w:w="8275" w:type="dxa"/>
            <w:gridSpan w:val="2"/>
          </w:tcPr>
          <w:p w14:paraId="5B7E19A3" w14:textId="0379DC4D" w:rsidR="00550D13" w:rsidRPr="00CA7E34" w:rsidRDefault="00550D13" w:rsidP="00550D13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eop"/>
                <w:color w:val="000000"/>
                <w:sz w:val="22"/>
                <w:szCs w:val="22"/>
              </w:rPr>
            </w:pPr>
            <w:r>
              <w:rPr>
                <w:rStyle w:val="eop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101" w:type="dxa"/>
          </w:tcPr>
          <w:p w14:paraId="0FAA6F63" w14:textId="2DEDAB26" w:rsidR="00550D13" w:rsidRPr="00CA7E34" w:rsidRDefault="005C02EC" w:rsidP="00550D1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000000"/>
                <w:sz w:val="22"/>
                <w:szCs w:val="22"/>
              </w:rPr>
            </w:pPr>
            <w:r>
              <w:rPr>
                <w:rStyle w:val="eop"/>
                <w:color w:val="000000"/>
                <w:sz w:val="22"/>
                <w:szCs w:val="22"/>
              </w:rPr>
              <w:t>5</w:t>
            </w:r>
            <w:r>
              <w:rPr>
                <w:rStyle w:val="eop"/>
              </w:rPr>
              <w:t>0</w:t>
            </w:r>
            <w:r w:rsidR="00550D13">
              <w:rPr>
                <w:rStyle w:val="eop"/>
                <w:color w:val="000000"/>
                <w:sz w:val="22"/>
                <w:szCs w:val="22"/>
              </w:rPr>
              <w:t xml:space="preserve"> min</w:t>
            </w:r>
          </w:p>
        </w:tc>
      </w:tr>
    </w:tbl>
    <w:p w14:paraId="74B0AABA" w14:textId="77777777" w:rsidR="00CA7E34" w:rsidRPr="00CA7E34" w:rsidRDefault="00CA7E34" w:rsidP="00CA7E34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A7E34">
        <w:rPr>
          <w:rStyle w:val="eop"/>
          <w:color w:val="000000"/>
          <w:sz w:val="22"/>
          <w:szCs w:val="22"/>
        </w:rPr>
        <w:t> </w:t>
      </w:r>
    </w:p>
    <w:p w14:paraId="6BCF7A65" w14:textId="77777777" w:rsidR="00753BAC" w:rsidRPr="00CA7E34" w:rsidRDefault="00753BAC">
      <w:pPr>
        <w:rPr>
          <w:sz w:val="22"/>
          <w:szCs w:val="22"/>
        </w:rPr>
      </w:pPr>
    </w:p>
    <w:sectPr w:rsidR="00753BAC" w:rsidRPr="00CA7E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F16EB"/>
    <w:multiLevelType w:val="multilevel"/>
    <w:tmpl w:val="AFC23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5A5BB5"/>
    <w:multiLevelType w:val="multilevel"/>
    <w:tmpl w:val="032C1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C03F57"/>
    <w:multiLevelType w:val="multilevel"/>
    <w:tmpl w:val="605E5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FE2BC0"/>
    <w:multiLevelType w:val="multilevel"/>
    <w:tmpl w:val="469C4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3946739">
    <w:abstractNumId w:val="1"/>
  </w:num>
  <w:num w:numId="2" w16cid:durableId="2069188019">
    <w:abstractNumId w:val="0"/>
  </w:num>
  <w:num w:numId="3" w16cid:durableId="1356149749">
    <w:abstractNumId w:val="2"/>
  </w:num>
  <w:num w:numId="4" w16cid:durableId="8437843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E34"/>
    <w:rsid w:val="0005134D"/>
    <w:rsid w:val="002F1E79"/>
    <w:rsid w:val="003349FF"/>
    <w:rsid w:val="00452BBB"/>
    <w:rsid w:val="0046106E"/>
    <w:rsid w:val="004C03C6"/>
    <w:rsid w:val="005374FF"/>
    <w:rsid w:val="00550D13"/>
    <w:rsid w:val="005C02EC"/>
    <w:rsid w:val="0066697C"/>
    <w:rsid w:val="00671C8C"/>
    <w:rsid w:val="00680EC8"/>
    <w:rsid w:val="006C6147"/>
    <w:rsid w:val="00753BAC"/>
    <w:rsid w:val="007C3163"/>
    <w:rsid w:val="008E0EA6"/>
    <w:rsid w:val="009A0C43"/>
    <w:rsid w:val="009E6391"/>
    <w:rsid w:val="00A05A8C"/>
    <w:rsid w:val="00AB1F9E"/>
    <w:rsid w:val="00C27AC0"/>
    <w:rsid w:val="00CA7E34"/>
    <w:rsid w:val="00DD75DD"/>
    <w:rsid w:val="00E4209A"/>
    <w:rsid w:val="00EB2AC0"/>
    <w:rsid w:val="00EC5649"/>
    <w:rsid w:val="00FA387F"/>
    <w:rsid w:val="633307D1"/>
    <w:rsid w:val="7869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827C4"/>
  <w15:chartTrackingRefBased/>
  <w15:docId w15:val="{EBB938DC-F769-9145-BC4A-675C82320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AC0"/>
    <w:rPr>
      <w:rFonts w:ascii="Times New Roman" w:eastAsia="Times New Roman" w:hAnsi="Times New Roman" w:cs="Times New Roman"/>
      <w:kern w:val="0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316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5">
    <w:name w:val="heading 5"/>
    <w:basedOn w:val="Normal"/>
    <w:link w:val="Heading5Char"/>
    <w:uiPriority w:val="9"/>
    <w:qFormat/>
    <w:rsid w:val="007C316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A7E34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CA7E34"/>
  </w:style>
  <w:style w:type="character" w:customStyle="1" w:styleId="eop">
    <w:name w:val="eop"/>
    <w:basedOn w:val="DefaultParagraphFont"/>
    <w:rsid w:val="00CA7E34"/>
  </w:style>
  <w:style w:type="character" w:customStyle="1" w:styleId="tabchar">
    <w:name w:val="tabchar"/>
    <w:basedOn w:val="DefaultParagraphFont"/>
    <w:rsid w:val="00CA7E34"/>
  </w:style>
  <w:style w:type="table" w:styleId="TableGrid">
    <w:name w:val="Table Grid"/>
    <w:basedOn w:val="TableNormal"/>
    <w:uiPriority w:val="39"/>
    <w:rsid w:val="00CA7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7C3163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7C3163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05134D"/>
  </w:style>
  <w:style w:type="character" w:styleId="Emphasis">
    <w:name w:val="Emphasis"/>
    <w:basedOn w:val="DefaultParagraphFont"/>
    <w:uiPriority w:val="20"/>
    <w:qFormat/>
    <w:rsid w:val="00680EC8"/>
    <w:rPr>
      <w:i/>
      <w:iCs/>
    </w:rPr>
  </w:style>
  <w:style w:type="character" w:styleId="Hyperlink">
    <w:name w:val="Hyperlink"/>
    <w:basedOn w:val="DefaultParagraphFont"/>
    <w:uiPriority w:val="99"/>
    <w:unhideWhenUsed/>
    <w:rsid w:val="003349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49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18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5787459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1135870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013828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8047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493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12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0678676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419976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808581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6669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8130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3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5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6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8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tces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kitc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D18DC583A0B64EA14B689F7D8743E3" ma:contentTypeVersion="14" ma:contentTypeDescription="Create a new document." ma:contentTypeScope="" ma:versionID="c5f5a618dc9395d3fa45ade4c55091d9">
  <xsd:schema xmlns:xsd="http://www.w3.org/2001/XMLSchema" xmlns:xs="http://www.w3.org/2001/XMLSchema" xmlns:p="http://schemas.microsoft.com/office/2006/metadata/properties" xmlns:ns2="0586afe6-2814-4cb5-92c4-af72f2aea325" xmlns:ns3="c36299cd-0576-437f-98bf-37f8447cf5a8" targetNamespace="http://schemas.microsoft.com/office/2006/metadata/properties" ma:root="true" ma:fieldsID="f19c799b44dac4550d3b6c90b1f69f9a" ns2:_="" ns3:_="">
    <xsd:import namespace="0586afe6-2814-4cb5-92c4-af72f2aea325"/>
    <xsd:import namespace="c36299cd-0576-437f-98bf-37f8447cf5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6afe6-2814-4cb5-92c4-af72f2aea3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c868871-36f6-400f-8f35-7bb0f0ee22e0}" ma:internalName="TaxCatchAll" ma:showField="CatchAllData" ma:web="0586afe6-2814-4cb5-92c4-af72f2aea3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299cd-0576-437f-98bf-37f8447cf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e945071-b0b2-41b6-a98a-e3d949953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86afe6-2814-4cb5-92c4-af72f2aea325" xsi:nil="true"/>
    <lcf76f155ced4ddcb4097134ff3c332f xmlns="c36299cd-0576-437f-98bf-37f8447cf5a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AE227B-74DF-4FA3-95BB-F2AE37C2BCD5}"/>
</file>

<file path=customXml/itemProps2.xml><?xml version="1.0" encoding="utf-8"?>
<ds:datastoreItem xmlns:ds="http://schemas.openxmlformats.org/officeDocument/2006/customXml" ds:itemID="{731AF001-3811-4024-BE33-B3AB31FC9025}">
  <ds:schemaRefs>
    <ds:schemaRef ds:uri="http://schemas.microsoft.com/office/2006/metadata/properties"/>
    <ds:schemaRef ds:uri="http://schemas.microsoft.com/office/infopath/2007/PartnerControls"/>
    <ds:schemaRef ds:uri="0586afe6-2814-4cb5-92c4-af72f2aea325"/>
    <ds:schemaRef ds:uri="c36299cd-0576-437f-98bf-37f8447cf5a8"/>
  </ds:schemaRefs>
</ds:datastoreItem>
</file>

<file path=customXml/itemProps3.xml><?xml version="1.0" encoding="utf-8"?>
<ds:datastoreItem xmlns:ds="http://schemas.openxmlformats.org/officeDocument/2006/customXml" ds:itemID="{B7C1CD73-CE5D-4F02-8792-58A6EA06F7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Corrinne McKenna</dc:creator>
  <cp:keywords/>
  <dc:description/>
  <cp:lastModifiedBy>Paula Frey</cp:lastModifiedBy>
  <cp:revision>2</cp:revision>
  <dcterms:created xsi:type="dcterms:W3CDTF">2023-12-01T17:13:00Z</dcterms:created>
  <dcterms:modified xsi:type="dcterms:W3CDTF">2023-12-01T17:13:00Z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0x01010025D18DC583A0B64EA14B689F7D8743E3</vt:lpwstr>
  </property>
  <property fmtid="{D5CDD505-2E9C-101B-9397-08002B2CF9AE}" pid="3" name="MediaServiceImageTags">
    <vt:lpwstr/>
  </property>
</Properties>
</file>