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6DE4" w:rsidP="008B647D" w:rsidRDefault="002739E3" w14:paraId="5A12735E" w14:textId="1C0CBF45">
      <w:r>
        <w:rPr>
          <w:i/>
        </w:rPr>
        <w:t>Presentation</w:t>
      </w:r>
      <w:r w:rsidRPr="00DB78C1" w:rsidR="008B647D">
        <w:rPr>
          <w:i/>
        </w:rPr>
        <w:t xml:space="preserve">: </w:t>
      </w:r>
      <w:r w:rsidRPr="00DB78C1" w:rsidR="008B647D">
        <w:rPr>
          <w:i/>
        </w:rPr>
        <w:br/>
      </w:r>
      <w:bookmarkStart w:name="OLE_LINK1" w:id="0"/>
      <w:r w:rsidR="00C957BE">
        <w:t>Using Trusts as IRA Beneficiaries</w:t>
      </w:r>
    </w:p>
    <w:bookmarkEnd w:id="0"/>
    <w:p w:rsidRPr="0083149F" w:rsidR="008B647D" w:rsidP="008B647D" w:rsidRDefault="00B06DE4" w14:paraId="10E0C06E" w14:textId="77777777">
      <w:r>
        <w:t xml:space="preserve"> </w:t>
      </w:r>
    </w:p>
    <w:p w:rsidR="7AC7347D" w:rsidP="7AC7347D" w:rsidRDefault="7AC7347D" w14:paraId="4EB74A29" w14:textId="1DB42AF1">
      <w:pPr>
        <w:rPr>
          <w:color w:val="000000" w:themeColor="text1"/>
          <w:sz w:val="22"/>
          <w:szCs w:val="22"/>
        </w:rPr>
      </w:pPr>
      <w:r w:rsidRPr="026299AB" w:rsidR="7AC7347D">
        <w:rPr>
          <w:i w:val="1"/>
          <w:iCs w:val="1"/>
          <w:color w:val="000000" w:themeColor="text1" w:themeTint="FF" w:themeShade="FF"/>
        </w:rPr>
        <w:t xml:space="preserve">Presenter: </w:t>
      </w:r>
      <w:r>
        <w:br/>
      </w:r>
      <w:r w:rsidRPr="026299AB" w:rsidR="7AC7347D">
        <w:rPr>
          <w:i w:val="1"/>
          <w:iCs w:val="1"/>
          <w:color w:val="000000" w:themeColor="text1" w:themeTint="FF" w:themeShade="FF"/>
        </w:rPr>
        <w:t>Jeffrey Levine, CPA/PFS, CFP</w:t>
      </w:r>
      <w:r w:rsidRPr="026299AB" w:rsidR="7AC7347D">
        <w:rPr>
          <w:color w:val="000000" w:themeColor="text1" w:themeTint="FF" w:themeShade="FF"/>
          <w:sz w:val="22"/>
          <w:szCs w:val="22"/>
          <w:vertAlign w:val="superscript"/>
        </w:rPr>
        <w:t>®</w:t>
      </w:r>
      <w:r w:rsidRPr="026299AB" w:rsidR="7AC7347D">
        <w:rPr>
          <w:color w:val="000000" w:themeColor="text1" w:themeTint="FF" w:themeShade="FF"/>
          <w:sz w:val="22"/>
          <w:szCs w:val="22"/>
        </w:rPr>
        <w:t>, CWS</w:t>
      </w:r>
      <w:r w:rsidRPr="026299AB" w:rsidR="7AC7347D">
        <w:rPr>
          <w:color w:val="000000" w:themeColor="text1" w:themeTint="FF" w:themeShade="FF"/>
          <w:sz w:val="22"/>
          <w:szCs w:val="22"/>
          <w:vertAlign w:val="superscript"/>
        </w:rPr>
        <w:t>®</w:t>
      </w:r>
      <w:r w:rsidRPr="026299AB" w:rsidR="7AC7347D">
        <w:rPr>
          <w:color w:val="000000" w:themeColor="text1" w:themeTint="FF" w:themeShade="FF"/>
          <w:sz w:val="22"/>
          <w:szCs w:val="22"/>
        </w:rPr>
        <w:t>, BFA</w:t>
      </w:r>
      <w:r w:rsidRPr="026299AB" w:rsidR="7AC7347D">
        <w:rPr>
          <w:color w:val="000000" w:themeColor="text1" w:themeTint="FF" w:themeShade="FF"/>
          <w:sz w:val="22"/>
          <w:szCs w:val="22"/>
          <w:vertAlign w:val="superscript"/>
        </w:rPr>
        <w:t>®</w:t>
      </w:r>
      <w:r w:rsidRPr="026299AB" w:rsidR="7AC7347D">
        <w:rPr>
          <w:color w:val="000000" w:themeColor="text1" w:themeTint="FF" w:themeShade="FF"/>
          <w:sz w:val="22"/>
          <w:szCs w:val="22"/>
        </w:rPr>
        <w:t>, MSA is the Lead Financial Planning Nerd for</w:t>
      </w:r>
      <w:r w:rsidRPr="026299AB" w:rsidR="7AC7347D">
        <w:rPr>
          <w:color w:val="333333"/>
          <w:sz w:val="22"/>
          <w:szCs w:val="22"/>
        </w:rPr>
        <w:t> </w:t>
      </w:r>
      <w:hyperlink r:id="Rff26c9dcc10e444c">
        <w:r w:rsidRPr="026299AB" w:rsidR="7AC7347D">
          <w:rPr>
            <w:rStyle w:val="Hyperlink"/>
            <w:sz w:val="22"/>
            <w:szCs w:val="22"/>
          </w:rPr>
          <w:t>Kitces.com</w:t>
        </w:r>
      </w:hyperlink>
      <w:r w:rsidRPr="026299AB" w:rsidR="7AC7347D">
        <w:rPr>
          <w:color w:val="333333"/>
          <w:sz w:val="22"/>
          <w:szCs w:val="22"/>
        </w:rPr>
        <w:t xml:space="preserve"> and the Chief Planning Officer </w:t>
      </w:r>
      <w:r w:rsidRPr="026299AB" w:rsidR="7AC7347D">
        <w:rPr>
          <w:color w:val="000000" w:themeColor="text1" w:themeTint="FF" w:themeShade="FF"/>
          <w:sz w:val="22"/>
          <w:szCs w:val="22"/>
        </w:rPr>
        <w:t xml:space="preserve">at </w:t>
      </w:r>
      <w:hyperlink r:id="Rb8f0d8361e1c463e">
        <w:r w:rsidRPr="026299AB" w:rsidR="18CC6E7F">
          <w:rPr>
            <w:rStyle w:val="Hyperlink"/>
            <w:sz w:val="22"/>
            <w:szCs w:val="22"/>
          </w:rPr>
          <w:t>Focus</w:t>
        </w:r>
        <w:r w:rsidRPr="026299AB" w:rsidR="7AC7347D">
          <w:rPr>
            <w:rStyle w:val="Hyperlink"/>
            <w:sz w:val="22"/>
            <w:szCs w:val="22"/>
          </w:rPr>
          <w:t xml:space="preserve"> Wealth Partners</w:t>
        </w:r>
      </w:hyperlink>
      <w:r w:rsidRPr="026299AB" w:rsidR="7AC7347D">
        <w:rPr>
          <w:color w:val="000000" w:themeColor="text1" w:themeTint="FF" w:themeShade="FF"/>
          <w:sz w:val="22"/>
          <w:szCs w:val="22"/>
        </w:rPr>
        <w:t xml:space="preserve">. In 2020, Mr. Levine was named by Investment Advisor Magazine as one of the top 25 voices to turn to during uncertain </w:t>
      </w:r>
      <w:r w:rsidRPr="026299AB" w:rsidR="7AC7347D">
        <w:rPr>
          <w:color w:val="000000" w:themeColor="text1" w:themeTint="FF" w:themeShade="FF"/>
          <w:sz w:val="22"/>
          <w:szCs w:val="22"/>
        </w:rPr>
        <w:t>times, and</w:t>
      </w:r>
      <w:r w:rsidRPr="026299AB" w:rsidR="7AC7347D">
        <w:rPr>
          <w:color w:val="000000" w:themeColor="text1" w:themeTint="FF" w:themeShade="FF"/>
          <w:sz w:val="22"/>
          <w:szCs w:val="22"/>
        </w:rPr>
        <w:t xml:space="preserve"> was named to the IA25 again in 2021. Jeff is a past recipient of the</w:t>
      </w:r>
      <w:r w:rsidRPr="026299AB" w:rsidR="7AC7347D">
        <w:rPr>
          <w:color w:val="333333"/>
          <w:sz w:val="22"/>
          <w:szCs w:val="22"/>
        </w:rPr>
        <w:t> </w:t>
      </w:r>
      <w:hyperlink r:id="Rc08302015774419c">
        <w:r w:rsidRPr="026299AB" w:rsidR="7AC7347D">
          <w:rPr>
            <w:rStyle w:val="Hyperlink"/>
            <w:sz w:val="22"/>
            <w:szCs w:val="22"/>
          </w:rPr>
          <w:t>Standing Ovation award</w:t>
        </w:r>
      </w:hyperlink>
      <w:r w:rsidRPr="026299AB" w:rsidR="7AC7347D">
        <w:rPr>
          <w:color w:val="333333"/>
          <w:sz w:val="22"/>
          <w:szCs w:val="22"/>
        </w:rPr>
        <w:t xml:space="preserve">, </w:t>
      </w:r>
      <w:r w:rsidRPr="026299AB" w:rsidR="7AC7347D">
        <w:rPr>
          <w:color w:val="000000" w:themeColor="text1" w:themeTint="FF" w:themeShade="FF"/>
          <w:sz w:val="22"/>
          <w:szCs w:val="22"/>
        </w:rPr>
        <w:t>presented by the AICPA Financial Planning Division, was named to the</w:t>
      </w:r>
      <w:r w:rsidRPr="026299AB" w:rsidR="7AC7347D">
        <w:rPr>
          <w:color w:val="333333"/>
          <w:sz w:val="22"/>
          <w:szCs w:val="22"/>
        </w:rPr>
        <w:t> </w:t>
      </w:r>
      <w:hyperlink r:id="Rd36b7c595abe4f08">
        <w:r w:rsidRPr="026299AB" w:rsidR="7AC7347D">
          <w:rPr>
            <w:rStyle w:val="Hyperlink"/>
            <w:sz w:val="22"/>
            <w:szCs w:val="22"/>
          </w:rPr>
          <w:t>2017 class of 40 Under 40</w:t>
        </w:r>
      </w:hyperlink>
      <w:r w:rsidRPr="026299AB" w:rsidR="7AC7347D">
        <w:rPr>
          <w:color w:val="333333"/>
          <w:sz w:val="22"/>
          <w:szCs w:val="22"/>
        </w:rPr>
        <w:t> </w:t>
      </w:r>
      <w:r w:rsidRPr="026299AB" w:rsidR="7AC7347D">
        <w:rPr>
          <w:color w:val="000000" w:themeColor="text1" w:themeTint="FF" w:themeShade="FF"/>
          <w:sz w:val="22"/>
          <w:szCs w:val="22"/>
        </w:rPr>
        <w:t xml:space="preserve">by </w:t>
      </w:r>
      <w:r w:rsidRPr="026299AB" w:rsidR="7AC7347D">
        <w:rPr>
          <w:color w:val="000000" w:themeColor="text1" w:themeTint="FF" w:themeShade="FF"/>
          <w:sz w:val="22"/>
          <w:szCs w:val="22"/>
        </w:rPr>
        <w:t>InvestmentNews</w:t>
      </w:r>
      <w:r w:rsidRPr="026299AB" w:rsidR="7AC7347D">
        <w:rPr>
          <w:color w:val="000000" w:themeColor="text1" w:themeTint="FF" w:themeShade="FF"/>
          <w:sz w:val="22"/>
          <w:szCs w:val="22"/>
        </w:rPr>
        <w:t>, and as a Young Advisor to Watch by Financial Advisor Magazine in 2020. Previously, Jeffrey served as Ed Slott and Company’s Chief Retirement Strategist, where his ability to simplify the complex laws that govern individual retirement accounts, combined with his unique blend of humor and tax planning, was first recognized. You can follow Jeff on Twitter</w:t>
      </w:r>
      <w:r w:rsidRPr="026299AB" w:rsidR="7AC7347D">
        <w:rPr>
          <w:color w:val="333333"/>
          <w:sz w:val="22"/>
          <w:szCs w:val="22"/>
        </w:rPr>
        <w:t> </w:t>
      </w:r>
      <w:hyperlink r:id="R0f6799e707f24856">
        <w:r w:rsidRPr="026299AB" w:rsidR="7AC7347D">
          <w:rPr>
            <w:rStyle w:val="Hyperlink"/>
            <w:sz w:val="22"/>
            <w:szCs w:val="22"/>
          </w:rPr>
          <w:t>@CPAPlanner</w:t>
        </w:r>
      </w:hyperlink>
      <w:r w:rsidRPr="026299AB" w:rsidR="7AC7347D">
        <w:rPr>
          <w:color w:val="333333"/>
          <w:sz w:val="22"/>
          <w:szCs w:val="22"/>
        </w:rPr>
        <w:t xml:space="preserve">, where he is known to break down the latest tax updates in GIF-filled tweets storms, </w:t>
      </w:r>
      <w:r w:rsidRPr="026299AB" w:rsidR="7AC7347D">
        <w:rPr>
          <w:color w:val="000000" w:themeColor="text1" w:themeTint="FF" w:themeShade="FF"/>
          <w:sz w:val="22"/>
          <w:szCs w:val="22"/>
        </w:rPr>
        <w:t xml:space="preserve">and via his personal website, </w:t>
      </w:r>
      <w:hyperlink r:id="R4a62f059228a4cf0">
        <w:r w:rsidRPr="026299AB" w:rsidR="7AC7347D">
          <w:rPr>
            <w:rStyle w:val="Hyperlink"/>
            <w:sz w:val="22"/>
            <w:szCs w:val="22"/>
          </w:rPr>
          <w:t>www.FullyVestedAdvice.com</w:t>
        </w:r>
      </w:hyperlink>
      <w:r w:rsidRPr="026299AB" w:rsidR="7AC7347D">
        <w:rPr>
          <w:color w:val="000000" w:themeColor="text1" w:themeTint="FF" w:themeShade="FF"/>
          <w:sz w:val="22"/>
          <w:szCs w:val="22"/>
        </w:rPr>
        <w:t>.</w:t>
      </w:r>
    </w:p>
    <w:p w:rsidR="7AC7347D" w:rsidP="7AC7347D" w:rsidRDefault="7AC7347D" w14:paraId="089F1B47" w14:textId="7EC0D27B"/>
    <w:p w:rsidRPr="00265D73" w:rsidR="00147352" w:rsidP="00147352" w:rsidRDefault="00147352" w14:paraId="1943094A" w14:textId="504F1E62"/>
    <w:p w:rsidRPr="0083149F" w:rsidR="008B647D" w:rsidP="00147352" w:rsidRDefault="008B647D" w14:paraId="3BC820BE" w14:textId="77777777"/>
    <w:p w:rsidRPr="00DB78C1" w:rsidR="008B647D" w:rsidP="008B647D" w:rsidRDefault="008B647D" w14:paraId="079CF018" w14:textId="77777777">
      <w:pPr>
        <w:rPr>
          <w:i/>
        </w:rPr>
      </w:pPr>
      <w:r w:rsidRPr="00DB78C1">
        <w:rPr>
          <w:i/>
        </w:rPr>
        <w:t>Session Description:</w:t>
      </w:r>
    </w:p>
    <w:p w:rsidR="00C957BE" w:rsidP="00B06DE4" w:rsidRDefault="00C957BE" w14:paraId="5CA7D5F9" w14:textId="16C601C6">
      <w:pPr>
        <w:autoSpaceDE w:val="0"/>
        <w:autoSpaceDN w:val="0"/>
        <w:adjustRightInd w:val="0"/>
        <w:rPr>
          <w:rFonts w:eastAsia="Calibri"/>
          <w:color w:val="000000"/>
          <w:szCs w:val="20"/>
        </w:rPr>
      </w:pPr>
      <w:r>
        <w:rPr>
          <w:rFonts w:eastAsia="Calibri"/>
          <w:color w:val="000000"/>
          <w:szCs w:val="20"/>
        </w:rPr>
        <w:t xml:space="preserve">The </w:t>
      </w:r>
      <w:r w:rsidRPr="00C957BE">
        <w:rPr>
          <w:rFonts w:eastAsia="Calibri"/>
          <w:color w:val="000000"/>
          <w:szCs w:val="20"/>
        </w:rPr>
        <w:t xml:space="preserve">U.S. retirement market </w:t>
      </w:r>
      <w:r>
        <w:rPr>
          <w:rFonts w:eastAsia="Calibri"/>
          <w:color w:val="000000"/>
          <w:szCs w:val="20"/>
        </w:rPr>
        <w:t>is roughly $30 trillion</w:t>
      </w:r>
      <w:r w:rsidRPr="00C957BE">
        <w:rPr>
          <w:rFonts w:eastAsia="Calibri"/>
          <w:color w:val="000000"/>
          <w:szCs w:val="20"/>
        </w:rPr>
        <w:t xml:space="preserve">, </w:t>
      </w:r>
      <w:r>
        <w:rPr>
          <w:rFonts w:eastAsia="Calibri"/>
          <w:color w:val="000000"/>
          <w:szCs w:val="20"/>
        </w:rPr>
        <w:t xml:space="preserve">and </w:t>
      </w:r>
      <w:r w:rsidRPr="00C957BE">
        <w:rPr>
          <w:rFonts w:eastAsia="Calibri"/>
          <w:color w:val="000000"/>
          <w:szCs w:val="20"/>
        </w:rPr>
        <w:t xml:space="preserve">more than half of </w:t>
      </w:r>
      <w:r>
        <w:rPr>
          <w:rFonts w:eastAsia="Calibri"/>
          <w:color w:val="000000"/>
          <w:szCs w:val="20"/>
        </w:rPr>
        <w:t>those assets are held in</w:t>
      </w:r>
      <w:r w:rsidRPr="00C957BE">
        <w:rPr>
          <w:rFonts w:eastAsia="Calibri"/>
          <w:color w:val="000000"/>
          <w:szCs w:val="20"/>
        </w:rPr>
        <w:t xml:space="preserve"> IRAs and similar defined contribution plans.  Much of that wealth rests in the hands of an aging Baby Boomer generation, and financial advisors will play a critical role in passing these assets along to clients’ beneficiaries as intended, and as tax efficiently as possible. Sometimes, that may require using a trust as an IRA beneficiary. </w:t>
      </w:r>
      <w:r>
        <w:rPr>
          <w:rFonts w:eastAsia="Calibri"/>
          <w:color w:val="000000"/>
          <w:szCs w:val="20"/>
        </w:rPr>
        <w:t xml:space="preserve">But while these </w:t>
      </w:r>
      <w:r w:rsidRPr="00C957BE">
        <w:rPr>
          <w:rFonts w:eastAsia="Calibri"/>
          <w:color w:val="000000"/>
          <w:szCs w:val="20"/>
        </w:rPr>
        <w:t>tools can be incredibly effective</w:t>
      </w:r>
      <w:r>
        <w:rPr>
          <w:rFonts w:eastAsia="Calibri"/>
          <w:color w:val="000000"/>
          <w:szCs w:val="20"/>
        </w:rPr>
        <w:t xml:space="preserve"> </w:t>
      </w:r>
      <w:r w:rsidR="00802B8C">
        <w:rPr>
          <w:rFonts w:eastAsia="Calibri"/>
          <w:color w:val="000000"/>
          <w:szCs w:val="20"/>
        </w:rPr>
        <w:t>at</w:t>
      </w:r>
      <w:r>
        <w:rPr>
          <w:rFonts w:eastAsia="Calibri"/>
          <w:color w:val="000000"/>
          <w:szCs w:val="20"/>
        </w:rPr>
        <w:t xml:space="preserve"> protecting and preserving wealth</w:t>
      </w:r>
      <w:r w:rsidRPr="00C957BE">
        <w:rPr>
          <w:rFonts w:eastAsia="Calibri"/>
          <w:color w:val="000000"/>
          <w:szCs w:val="20"/>
        </w:rPr>
        <w:t xml:space="preserve">, </w:t>
      </w:r>
      <w:r>
        <w:rPr>
          <w:rFonts w:eastAsia="Calibri"/>
          <w:color w:val="000000"/>
          <w:szCs w:val="20"/>
        </w:rPr>
        <w:t>they can also add considerable cost and complexity to a plan</w:t>
      </w:r>
      <w:r w:rsidRPr="00C957BE">
        <w:rPr>
          <w:rFonts w:eastAsia="Calibri"/>
          <w:color w:val="000000"/>
          <w:szCs w:val="20"/>
        </w:rPr>
        <w:t>. In this session, attendees will learn about some of the biggest pros and cons of leaving an IRA to a trust, as well as the critical</w:t>
      </w:r>
      <w:r w:rsidR="00802B8C">
        <w:rPr>
          <w:rFonts w:eastAsia="Calibri"/>
          <w:color w:val="000000"/>
          <w:szCs w:val="20"/>
        </w:rPr>
        <w:t xml:space="preserve"> IRA trust</w:t>
      </w:r>
      <w:r w:rsidRPr="00C957BE">
        <w:rPr>
          <w:rFonts w:eastAsia="Calibri"/>
          <w:color w:val="000000"/>
          <w:szCs w:val="20"/>
        </w:rPr>
        <w:t xml:space="preserve"> rules they must know in order to</w:t>
      </w:r>
      <w:r w:rsidR="00802B8C">
        <w:rPr>
          <w:rFonts w:eastAsia="Calibri"/>
          <w:color w:val="000000"/>
          <w:szCs w:val="20"/>
        </w:rPr>
        <w:t xml:space="preserve"> properly</w:t>
      </w:r>
      <w:r w:rsidRPr="00C957BE">
        <w:rPr>
          <w:rFonts w:eastAsia="Calibri"/>
          <w:color w:val="000000"/>
          <w:szCs w:val="20"/>
        </w:rPr>
        <w:t xml:space="preserve"> guide clients.</w:t>
      </w:r>
    </w:p>
    <w:p w:rsidR="00A860D8" w:rsidP="00B06DE4" w:rsidRDefault="00A860D8" w14:paraId="43121770" w14:textId="77777777">
      <w:pPr>
        <w:autoSpaceDE w:val="0"/>
        <w:autoSpaceDN w:val="0"/>
        <w:adjustRightInd w:val="0"/>
        <w:rPr>
          <w:rFonts w:eastAsia="Calibri"/>
          <w:color w:val="000000"/>
          <w:szCs w:val="20"/>
        </w:rPr>
      </w:pPr>
    </w:p>
    <w:p w:rsidR="00A860D8" w:rsidP="00B06DE4" w:rsidRDefault="00A860D8" w14:paraId="281A0A6A" w14:textId="77777777">
      <w:pPr>
        <w:autoSpaceDE w:val="0"/>
        <w:autoSpaceDN w:val="0"/>
        <w:adjustRightInd w:val="0"/>
        <w:rPr>
          <w:rFonts w:eastAsia="Calibri"/>
          <w:szCs w:val="20"/>
        </w:rPr>
      </w:pPr>
    </w:p>
    <w:p w:rsidR="00147352" w:rsidP="00147352" w:rsidRDefault="00147352" w14:paraId="0A0E5F79" w14:textId="77777777">
      <w:r>
        <w:rPr>
          <w:i/>
        </w:rPr>
        <w:t>Learning Objectives:</w:t>
      </w:r>
    </w:p>
    <w:p w:rsidR="00147352" w:rsidP="009A37F8" w:rsidRDefault="00147352" w14:paraId="64716C10" w14:textId="17882587">
      <w:pPr>
        <w:ind w:left="900" w:hanging="900"/>
      </w:pPr>
      <w:r>
        <w:t xml:space="preserve">- </w:t>
      </w:r>
      <w:r w:rsidR="00BD1F06">
        <w:t>LO #1</w:t>
      </w:r>
      <w:r w:rsidR="003B53F3">
        <w:t xml:space="preserve">: </w:t>
      </w:r>
      <w:r w:rsidR="00802B8C">
        <w:t>Understand the difference between the treatment of see-through trusts and non-see-through trusts</w:t>
      </w:r>
      <w:r w:rsidR="008201A5">
        <w:t>.</w:t>
      </w:r>
    </w:p>
    <w:p w:rsidR="003B53F3" w:rsidP="009A37F8" w:rsidRDefault="003B53F3" w14:paraId="6E4B8A1C" w14:textId="77777777">
      <w:pPr>
        <w:ind w:left="900" w:hanging="900"/>
      </w:pPr>
    </w:p>
    <w:p w:rsidR="00147352" w:rsidP="009A37F8" w:rsidRDefault="00147352" w14:paraId="62FE4E61" w14:textId="35EE2541">
      <w:pPr>
        <w:ind w:left="900" w:hanging="900"/>
      </w:pPr>
      <w:r>
        <w:t xml:space="preserve">- </w:t>
      </w:r>
      <w:r w:rsidR="00BD1F06">
        <w:t>LO #2</w:t>
      </w:r>
      <w:r w:rsidR="006E70CF">
        <w:t xml:space="preserve">: </w:t>
      </w:r>
      <w:r w:rsidR="00CD5486">
        <w:t>Review</w:t>
      </w:r>
      <w:r w:rsidR="00802B8C">
        <w:t xml:space="preserve"> the requirements of a see-through trust</w:t>
      </w:r>
      <w:r w:rsidR="000A79BE">
        <w:t xml:space="preserve"> </w:t>
      </w:r>
    </w:p>
    <w:p w:rsidR="003B53F3" w:rsidP="009A37F8" w:rsidRDefault="003B53F3" w14:paraId="5111C2F8" w14:textId="77777777">
      <w:pPr>
        <w:ind w:left="900" w:hanging="900"/>
      </w:pPr>
    </w:p>
    <w:p w:rsidR="009A37F8" w:rsidP="009A37F8" w:rsidRDefault="00147352" w14:paraId="317174DE" w14:textId="73DC0E19">
      <w:pPr>
        <w:ind w:left="900" w:hanging="900"/>
      </w:pPr>
      <w:r>
        <w:t xml:space="preserve">- </w:t>
      </w:r>
      <w:r w:rsidR="00BD1F06">
        <w:t>LO #</w:t>
      </w:r>
      <w:r w:rsidR="008949A2">
        <w:t>3</w:t>
      </w:r>
      <w:r w:rsidR="009A37F8">
        <w:t xml:space="preserve">: </w:t>
      </w:r>
      <w:r w:rsidR="00802B8C">
        <w:t>Discover the different types of see-through trusts and how they impact the calculation and taxation of distributions</w:t>
      </w:r>
    </w:p>
    <w:p w:rsidR="003B53F3" w:rsidP="009A37F8" w:rsidRDefault="003B53F3" w14:paraId="689D3B24" w14:textId="77777777">
      <w:pPr>
        <w:ind w:left="900" w:hanging="900"/>
      </w:pPr>
    </w:p>
    <w:p w:rsidR="00BD1F06" w:rsidP="009A37F8" w:rsidRDefault="00BD1F06" w14:paraId="72F2D3C1" w14:textId="2D8EA635">
      <w:pPr>
        <w:ind w:left="900" w:hanging="900"/>
      </w:pPr>
      <w:r>
        <w:t>- LO #</w:t>
      </w:r>
      <w:r w:rsidR="008949A2">
        <w:t>4</w:t>
      </w:r>
      <w:r w:rsidR="003B53F3">
        <w:t xml:space="preserve">: </w:t>
      </w:r>
      <w:r w:rsidR="00802B8C">
        <w:t>Explore the “life cycle” of an IRA Trust</w:t>
      </w:r>
    </w:p>
    <w:p w:rsidR="00147352" w:rsidP="00147352" w:rsidRDefault="00147352" w14:paraId="68B280BB" w14:textId="77777777">
      <w:pPr>
        <w:rPr>
          <w:i/>
        </w:rPr>
      </w:pPr>
    </w:p>
    <w:p w:rsidR="009D6B01" w:rsidP="00802B8C" w:rsidRDefault="00802B8C" w14:paraId="23017C3F" w14:textId="21F92A5C">
      <w:r>
        <w:t xml:space="preserve">- </w:t>
      </w:r>
      <w:r w:rsidR="009D6B01">
        <w:t>LO #</w:t>
      </w:r>
      <w:r w:rsidR="008949A2">
        <w:t>5:</w:t>
      </w:r>
      <w:r>
        <w:t xml:space="preserve"> Identify common mistakes made when trusts are named as a beneficiary</w:t>
      </w:r>
    </w:p>
    <w:p w:rsidR="00802B8C" w:rsidP="00802B8C" w:rsidRDefault="00802B8C" w14:paraId="6EDAC530" w14:textId="59CBC45D"/>
    <w:p w:rsidR="00802B8C" w:rsidP="00802B8C" w:rsidRDefault="00802B8C" w14:paraId="3EF17923" w14:textId="083C9A38">
      <w:r>
        <w:t xml:space="preserve">- LO #6: </w:t>
      </w:r>
      <w:r w:rsidR="00CD5486">
        <w:t xml:space="preserve">Analyze different alternatives to naming a trust as a beneficiary </w:t>
      </w:r>
    </w:p>
    <w:p w:rsidR="00AC4415" w:rsidP="00147352" w:rsidRDefault="00AC4415" w14:paraId="0B084F76" w14:textId="77777777">
      <w:pPr>
        <w:rPr>
          <w:i/>
        </w:rPr>
      </w:pPr>
    </w:p>
    <w:p w:rsidRPr="00886F9D" w:rsidR="00CF031A" w:rsidP="00CF031A" w:rsidRDefault="00CF031A" w14:paraId="7C6CE4B6" w14:textId="77777777">
      <w:pPr>
        <w:rPr>
          <w:i/>
        </w:rPr>
      </w:pPr>
      <w:r>
        <w:rPr>
          <w:i/>
        </w:rPr>
        <w:t>Level of Complexity:</w:t>
      </w:r>
    </w:p>
    <w:p w:rsidRPr="007D33C8" w:rsidR="00CF031A" w:rsidP="00CF031A" w:rsidRDefault="00CF031A" w14:paraId="788F087C" w14:textId="77777777">
      <w:r w:rsidRPr="007D33C8">
        <w:t xml:space="preserve">- CFP / IMCA: </w:t>
      </w:r>
      <w:r>
        <w:t>Advanced</w:t>
      </w:r>
      <w:r w:rsidRPr="007D33C8">
        <w:t xml:space="preserve"> </w:t>
      </w:r>
    </w:p>
    <w:p w:rsidRPr="007D33C8" w:rsidR="00CF031A" w:rsidP="00CF031A" w:rsidRDefault="00CF031A" w14:paraId="22456C51" w14:textId="77777777">
      <w:r w:rsidRPr="007D33C8">
        <w:t>- NASBA: Basic</w:t>
      </w:r>
    </w:p>
    <w:p w:rsidR="00CF031A" w:rsidP="00CF031A" w:rsidRDefault="00CF031A" w14:paraId="5C592F39" w14:textId="77777777"/>
    <w:p w:rsidR="00CF031A" w:rsidP="00CF031A" w:rsidRDefault="00CF031A" w14:paraId="647588B4" w14:textId="77777777">
      <w:r>
        <w:rPr>
          <w:i/>
        </w:rPr>
        <w:t>Topic Area(s):</w:t>
      </w:r>
    </w:p>
    <w:p w:rsidR="00CF031A" w:rsidP="00CF031A" w:rsidRDefault="00CF031A" w14:paraId="0C0A49EB" w14:textId="71DAF7DE">
      <w:r w:rsidRPr="007D33C8">
        <w:t>- CFP: General Principles of Financial Planning</w:t>
      </w:r>
      <w:r>
        <w:t>/Income Tax Planning/Estate Planning</w:t>
      </w:r>
    </w:p>
    <w:p w:rsidRPr="007D33C8" w:rsidR="00CF031A" w:rsidP="00CF031A" w:rsidRDefault="00CF031A" w14:paraId="01C27EC3" w14:textId="77777777">
      <w:r>
        <w:t>- IMCA: Taxes &amp; Regulation</w:t>
      </w:r>
    </w:p>
    <w:p w:rsidRPr="007D33C8" w:rsidR="00CF031A" w:rsidP="00CF031A" w:rsidRDefault="00CF031A" w14:paraId="1D85AFC5" w14:textId="77777777">
      <w:r w:rsidRPr="007D33C8">
        <w:t>- NA</w:t>
      </w:r>
      <w:r>
        <w:t>SB</w:t>
      </w:r>
      <w:r w:rsidRPr="007D33C8">
        <w:t>A: Specialized Knowledge (Personal Financial Planning)</w:t>
      </w:r>
    </w:p>
    <w:p w:rsidR="00CF031A" w:rsidP="00CF031A" w:rsidRDefault="00CF031A" w14:paraId="2CB4E380" w14:textId="77777777"/>
    <w:p w:rsidR="00CF031A" w:rsidP="00CF031A" w:rsidRDefault="00CF031A" w14:paraId="32886231" w14:textId="77777777">
      <w:pPr>
        <w:rPr>
          <w:iCs/>
        </w:rPr>
      </w:pPr>
      <w:r>
        <w:rPr>
          <w:i/>
        </w:rPr>
        <w:t xml:space="preserve">Hour(s) of CE: </w:t>
      </w:r>
    </w:p>
    <w:p w:rsidR="00CF031A" w:rsidP="00CF031A" w:rsidRDefault="00CF031A" w14:paraId="352BD096" w14:textId="36268089">
      <w:pPr>
        <w:rPr>
          <w:iCs/>
        </w:rPr>
      </w:pPr>
      <w:r>
        <w:rPr>
          <w:iCs/>
        </w:rPr>
        <w:t xml:space="preserve">CFP: </w:t>
      </w:r>
      <w:r w:rsidRPr="0046352F">
        <w:rPr>
          <w:iCs/>
        </w:rPr>
        <w:t>1</w:t>
      </w:r>
      <w:r>
        <w:rPr>
          <w:iCs/>
        </w:rPr>
        <w:t>.0</w:t>
      </w:r>
    </w:p>
    <w:p w:rsidR="00CF031A" w:rsidP="00CF031A" w:rsidRDefault="00CF031A" w14:paraId="6CEDDBB6" w14:textId="77777777">
      <w:pPr>
        <w:rPr>
          <w:iCs/>
        </w:rPr>
      </w:pPr>
      <w:r>
        <w:rPr>
          <w:iCs/>
        </w:rPr>
        <w:t>IMCA Financial Planning: 0.0</w:t>
      </w:r>
    </w:p>
    <w:p w:rsidR="00CF031A" w:rsidP="00CF031A" w:rsidRDefault="00CF031A" w14:paraId="7C12D16B" w14:textId="0EEBD645">
      <w:pPr>
        <w:rPr>
          <w:iCs/>
        </w:rPr>
      </w:pPr>
      <w:r>
        <w:rPr>
          <w:iCs/>
        </w:rPr>
        <w:t>IMCA Taxes &amp; Regulation: 1.0</w:t>
      </w:r>
    </w:p>
    <w:p w:rsidR="00CF031A" w:rsidP="00CF031A" w:rsidRDefault="00CF031A" w14:paraId="78F90342" w14:textId="77777777">
      <w:pPr>
        <w:rPr>
          <w:iCs/>
        </w:rPr>
      </w:pPr>
      <w:r>
        <w:rPr>
          <w:iCs/>
        </w:rPr>
        <w:t>IMCA Ethics: 0.0</w:t>
      </w:r>
    </w:p>
    <w:p w:rsidR="00CF031A" w:rsidP="00CF031A" w:rsidRDefault="00CF031A" w14:paraId="03FEF1E4" w14:textId="5AA737E1">
      <w:pPr>
        <w:rPr>
          <w:iCs/>
        </w:rPr>
      </w:pPr>
      <w:r>
        <w:rPr>
          <w:iCs/>
        </w:rPr>
        <w:t>NASBA: 1.0</w:t>
      </w:r>
    </w:p>
    <w:p w:rsidR="008948D3" w:rsidP="00147352" w:rsidRDefault="008948D3" w14:paraId="047BD992" w14:textId="103FD770"/>
    <w:p w:rsidR="00BA45E8" w:rsidP="00147352" w:rsidRDefault="00BA45E8" w14:paraId="1E5657C2" w14:textId="77777777"/>
    <w:p w:rsidRPr="00147352" w:rsidR="00AC276E" w:rsidP="00AC276E" w:rsidRDefault="00AC276E" w14:paraId="0BCD80B4" w14:textId="53564789">
      <w:pPr>
        <w:rPr>
          <w:i/>
        </w:rPr>
      </w:pPr>
      <w:r>
        <w:rPr>
          <w:i/>
        </w:rPr>
        <w:t>Outline:</w:t>
      </w:r>
    </w:p>
    <w:p w:rsidRPr="00CA5C63" w:rsidR="00AC276E" w:rsidP="00AC276E" w:rsidRDefault="00CD5486" w14:paraId="65CF310F" w14:textId="548AFECF">
      <w:pPr>
        <w:numPr>
          <w:ilvl w:val="0"/>
          <w:numId w:val="1"/>
        </w:numPr>
        <w:spacing w:line="360" w:lineRule="auto"/>
        <w:rPr>
          <w:sz w:val="22"/>
          <w:szCs w:val="22"/>
        </w:rPr>
      </w:pPr>
      <w:r>
        <w:rPr>
          <w:sz w:val="22"/>
          <w:szCs w:val="22"/>
        </w:rPr>
        <w:t>Overview of post-death distributions rules</w:t>
      </w:r>
      <w:r w:rsidR="00F54484">
        <w:rPr>
          <w:sz w:val="22"/>
          <w:szCs w:val="22"/>
        </w:rPr>
        <w:t>……………………………………………</w:t>
      </w:r>
      <w:r w:rsidR="00D507AF">
        <w:rPr>
          <w:sz w:val="22"/>
          <w:szCs w:val="22"/>
        </w:rPr>
        <w:t>.</w:t>
      </w:r>
      <w:r w:rsidR="00F54484">
        <w:rPr>
          <w:sz w:val="22"/>
          <w:szCs w:val="22"/>
        </w:rPr>
        <w:t xml:space="preserve">. </w:t>
      </w:r>
      <w:r w:rsidR="00FA5335">
        <w:rPr>
          <w:sz w:val="22"/>
          <w:szCs w:val="22"/>
        </w:rPr>
        <w:t>7</w:t>
      </w:r>
      <w:r w:rsidR="00F54484">
        <w:rPr>
          <w:sz w:val="22"/>
          <w:szCs w:val="22"/>
        </w:rPr>
        <w:t xml:space="preserve"> minutes</w:t>
      </w:r>
    </w:p>
    <w:p w:rsidR="00AC276E" w:rsidP="00AC276E" w:rsidRDefault="00CD5486" w14:paraId="589A0B14" w14:textId="5867348B">
      <w:pPr>
        <w:numPr>
          <w:ilvl w:val="0"/>
          <w:numId w:val="1"/>
        </w:numPr>
        <w:spacing w:line="360" w:lineRule="auto"/>
        <w:rPr>
          <w:sz w:val="22"/>
          <w:szCs w:val="22"/>
        </w:rPr>
      </w:pPr>
      <w:r>
        <w:rPr>
          <w:sz w:val="22"/>
          <w:szCs w:val="22"/>
        </w:rPr>
        <w:t>Understanding the separate account rules………………...</w:t>
      </w:r>
      <w:r w:rsidR="00E012A5">
        <w:rPr>
          <w:sz w:val="22"/>
          <w:szCs w:val="22"/>
        </w:rPr>
        <w:t xml:space="preserve">……………………………... </w:t>
      </w:r>
      <w:r w:rsidR="008A211F">
        <w:rPr>
          <w:sz w:val="22"/>
          <w:szCs w:val="22"/>
        </w:rPr>
        <w:t>3</w:t>
      </w:r>
      <w:r w:rsidR="00E012A5">
        <w:rPr>
          <w:sz w:val="22"/>
          <w:szCs w:val="22"/>
        </w:rPr>
        <w:t xml:space="preserve"> minutes</w:t>
      </w:r>
    </w:p>
    <w:p w:rsidR="00E012A5" w:rsidP="00AC276E" w:rsidRDefault="00CD5486" w14:paraId="4A29A43E" w14:textId="7DFEFF75">
      <w:pPr>
        <w:numPr>
          <w:ilvl w:val="0"/>
          <w:numId w:val="1"/>
        </w:numPr>
        <w:spacing w:line="360" w:lineRule="auto"/>
        <w:rPr>
          <w:sz w:val="22"/>
          <w:szCs w:val="22"/>
        </w:rPr>
      </w:pPr>
      <w:r>
        <w:rPr>
          <w:sz w:val="22"/>
          <w:szCs w:val="22"/>
        </w:rPr>
        <w:t>Common reasons to name a trust as an IRA beneficiary...</w:t>
      </w:r>
      <w:r w:rsidRPr="00E012A5" w:rsidR="00E012A5">
        <w:rPr>
          <w:sz w:val="22"/>
          <w:szCs w:val="22"/>
        </w:rPr>
        <w:t>………</w:t>
      </w:r>
      <w:r w:rsidR="00E012A5">
        <w:rPr>
          <w:sz w:val="22"/>
          <w:szCs w:val="22"/>
        </w:rPr>
        <w:t>...</w:t>
      </w:r>
      <w:r w:rsidRPr="00E012A5" w:rsidR="00E012A5">
        <w:rPr>
          <w:sz w:val="22"/>
          <w:szCs w:val="22"/>
        </w:rPr>
        <w:t>…………………</w:t>
      </w:r>
      <w:r w:rsidR="00E012A5">
        <w:rPr>
          <w:sz w:val="22"/>
          <w:szCs w:val="22"/>
        </w:rPr>
        <w:t xml:space="preserve">... </w:t>
      </w:r>
      <w:r w:rsidR="00FA5335">
        <w:rPr>
          <w:sz w:val="22"/>
          <w:szCs w:val="22"/>
        </w:rPr>
        <w:t>7</w:t>
      </w:r>
      <w:r w:rsidR="00E012A5">
        <w:rPr>
          <w:sz w:val="22"/>
          <w:szCs w:val="22"/>
        </w:rPr>
        <w:t xml:space="preserve"> minutes</w:t>
      </w:r>
    </w:p>
    <w:p w:rsidRPr="00E012A5" w:rsidR="00AC276E" w:rsidP="00AC276E" w:rsidRDefault="00CD5486" w14:paraId="49F2174A" w14:textId="5B7C0B96">
      <w:pPr>
        <w:numPr>
          <w:ilvl w:val="0"/>
          <w:numId w:val="1"/>
        </w:numPr>
        <w:spacing w:line="360" w:lineRule="auto"/>
        <w:rPr>
          <w:sz w:val="22"/>
          <w:szCs w:val="22"/>
        </w:rPr>
      </w:pPr>
      <w:r>
        <w:rPr>
          <w:sz w:val="22"/>
          <w:szCs w:val="22"/>
        </w:rPr>
        <w:t>Common reasons NOT to name a trust as an IRA beneficiary.</w:t>
      </w:r>
      <w:r w:rsidR="00E012A5">
        <w:rPr>
          <w:sz w:val="22"/>
          <w:szCs w:val="22"/>
        </w:rPr>
        <w:t>………...…………...</w:t>
      </w:r>
      <w:r>
        <w:rPr>
          <w:sz w:val="22"/>
          <w:szCs w:val="22"/>
        </w:rPr>
        <w:t>..</w:t>
      </w:r>
      <w:r w:rsidR="00E012A5">
        <w:rPr>
          <w:sz w:val="22"/>
          <w:szCs w:val="22"/>
        </w:rPr>
        <w:t xml:space="preserve">…. </w:t>
      </w:r>
      <w:r w:rsidR="008A211F">
        <w:rPr>
          <w:sz w:val="22"/>
          <w:szCs w:val="22"/>
        </w:rPr>
        <w:t>3</w:t>
      </w:r>
      <w:r w:rsidR="00E012A5">
        <w:rPr>
          <w:sz w:val="22"/>
          <w:szCs w:val="22"/>
        </w:rPr>
        <w:t xml:space="preserve"> minutes</w:t>
      </w:r>
    </w:p>
    <w:p w:rsidR="00AC276E" w:rsidP="00AC276E" w:rsidRDefault="00CD5486" w14:paraId="67745E9A" w14:textId="6BC0A954">
      <w:pPr>
        <w:numPr>
          <w:ilvl w:val="0"/>
          <w:numId w:val="1"/>
        </w:numPr>
        <w:spacing w:line="360" w:lineRule="auto"/>
        <w:rPr>
          <w:sz w:val="22"/>
          <w:szCs w:val="22"/>
        </w:rPr>
      </w:pPr>
      <w:r>
        <w:rPr>
          <w:sz w:val="22"/>
          <w:szCs w:val="22"/>
        </w:rPr>
        <w:t>Requirements of a see-through trust……………………...…..</w:t>
      </w:r>
      <w:r w:rsidR="00E012A5">
        <w:rPr>
          <w:sz w:val="22"/>
          <w:szCs w:val="22"/>
        </w:rPr>
        <w:t xml:space="preserve">…………..…………….. </w:t>
      </w:r>
      <w:r w:rsidR="00FA5335">
        <w:rPr>
          <w:sz w:val="22"/>
          <w:szCs w:val="22"/>
        </w:rPr>
        <w:t>7</w:t>
      </w:r>
      <w:r w:rsidR="00E012A5">
        <w:rPr>
          <w:sz w:val="22"/>
          <w:szCs w:val="22"/>
        </w:rPr>
        <w:t xml:space="preserve"> minutes</w:t>
      </w:r>
    </w:p>
    <w:p w:rsidR="00AC276E" w:rsidP="00AC276E" w:rsidRDefault="00CD5486" w14:paraId="765E2949" w14:textId="55E19368">
      <w:pPr>
        <w:numPr>
          <w:ilvl w:val="0"/>
          <w:numId w:val="1"/>
        </w:numPr>
        <w:spacing w:line="360" w:lineRule="auto"/>
        <w:rPr>
          <w:sz w:val="22"/>
          <w:szCs w:val="22"/>
        </w:rPr>
      </w:pPr>
      <w:r>
        <w:rPr>
          <w:sz w:val="22"/>
          <w:szCs w:val="22"/>
        </w:rPr>
        <w:t>Life cycle of an IRA Trust…………………….</w:t>
      </w:r>
      <w:r w:rsidR="00E012A5">
        <w:rPr>
          <w:sz w:val="22"/>
          <w:szCs w:val="22"/>
        </w:rPr>
        <w:t>…….……………………….………</w:t>
      </w:r>
      <w:r w:rsidR="00D507AF">
        <w:rPr>
          <w:sz w:val="22"/>
          <w:szCs w:val="22"/>
        </w:rPr>
        <w:t>..</w:t>
      </w:r>
      <w:r w:rsidR="00E012A5">
        <w:rPr>
          <w:sz w:val="22"/>
          <w:szCs w:val="22"/>
        </w:rPr>
        <w:t xml:space="preserve">… </w:t>
      </w:r>
      <w:r w:rsidR="008A211F">
        <w:rPr>
          <w:sz w:val="22"/>
          <w:szCs w:val="22"/>
        </w:rPr>
        <w:t>3</w:t>
      </w:r>
      <w:r w:rsidR="00E012A5">
        <w:rPr>
          <w:sz w:val="22"/>
          <w:szCs w:val="22"/>
        </w:rPr>
        <w:t xml:space="preserve"> minutes</w:t>
      </w:r>
    </w:p>
    <w:p w:rsidR="00AC276E" w:rsidP="00AC276E" w:rsidRDefault="00D507AF" w14:paraId="1562D294" w14:textId="2C93C13F">
      <w:pPr>
        <w:numPr>
          <w:ilvl w:val="0"/>
          <w:numId w:val="1"/>
        </w:numPr>
        <w:spacing w:line="360" w:lineRule="auto"/>
        <w:rPr>
          <w:sz w:val="22"/>
          <w:szCs w:val="22"/>
        </w:rPr>
      </w:pPr>
      <w:r>
        <w:rPr>
          <w:sz w:val="22"/>
          <w:szCs w:val="22"/>
        </w:rPr>
        <w:t>Conduit vs. Discretionary trusts……..</w:t>
      </w:r>
      <w:r w:rsidR="00E012A5">
        <w:rPr>
          <w:sz w:val="22"/>
          <w:szCs w:val="22"/>
        </w:rPr>
        <w:t xml:space="preserve">…………………………………………………. </w:t>
      </w:r>
      <w:r w:rsidR="00FA5335">
        <w:rPr>
          <w:sz w:val="22"/>
          <w:szCs w:val="22"/>
        </w:rPr>
        <w:t>7</w:t>
      </w:r>
      <w:r w:rsidR="00E012A5">
        <w:rPr>
          <w:sz w:val="22"/>
          <w:szCs w:val="22"/>
        </w:rPr>
        <w:t xml:space="preserve"> minutes</w:t>
      </w:r>
    </w:p>
    <w:p w:rsidR="00E012A5" w:rsidP="00AC276E" w:rsidRDefault="00D507AF" w14:paraId="5109BA90" w14:textId="539DD4AF">
      <w:pPr>
        <w:numPr>
          <w:ilvl w:val="0"/>
          <w:numId w:val="1"/>
        </w:numPr>
        <w:spacing w:line="360" w:lineRule="auto"/>
        <w:rPr>
          <w:sz w:val="22"/>
          <w:szCs w:val="22"/>
        </w:rPr>
      </w:pPr>
      <w:r>
        <w:rPr>
          <w:sz w:val="22"/>
          <w:szCs w:val="22"/>
        </w:rPr>
        <w:t>Common IRA trust beneficiary mistakes…</w:t>
      </w:r>
      <w:r w:rsidR="00E012A5">
        <w:rPr>
          <w:sz w:val="22"/>
          <w:szCs w:val="22"/>
        </w:rPr>
        <w:t xml:space="preserve">……………………………………………. </w:t>
      </w:r>
      <w:r w:rsidR="00FA5335">
        <w:rPr>
          <w:sz w:val="22"/>
          <w:szCs w:val="22"/>
        </w:rPr>
        <w:t>7</w:t>
      </w:r>
      <w:r w:rsidR="00E012A5">
        <w:rPr>
          <w:sz w:val="22"/>
          <w:szCs w:val="22"/>
        </w:rPr>
        <w:t xml:space="preserve"> minutes</w:t>
      </w:r>
    </w:p>
    <w:p w:rsidR="00D507AF" w:rsidP="00AC276E" w:rsidRDefault="00D507AF" w14:paraId="53FA97CE" w14:textId="1B7CF2F0">
      <w:pPr>
        <w:numPr>
          <w:ilvl w:val="0"/>
          <w:numId w:val="1"/>
        </w:numPr>
        <w:spacing w:line="360" w:lineRule="auto"/>
        <w:rPr>
          <w:sz w:val="22"/>
          <w:szCs w:val="22"/>
        </w:rPr>
      </w:pPr>
      <w:r>
        <w:rPr>
          <w:sz w:val="22"/>
          <w:szCs w:val="22"/>
        </w:rPr>
        <w:t>Recent/landmark IRA trust cases and rulings……………..…………………………….</w:t>
      </w:r>
      <w:r w:rsidR="00253208">
        <w:rPr>
          <w:sz w:val="22"/>
          <w:szCs w:val="22"/>
        </w:rPr>
        <w:t>6</w:t>
      </w:r>
      <w:r>
        <w:rPr>
          <w:sz w:val="22"/>
          <w:szCs w:val="22"/>
        </w:rPr>
        <w:t xml:space="preserve"> minutes</w:t>
      </w:r>
    </w:p>
    <w:p w:rsidR="00AC276E" w:rsidP="001E53D3" w:rsidRDefault="001E53D3" w14:paraId="328B3470" w14:textId="164455E6">
      <w:pPr>
        <w:ind w:left="7200"/>
        <w:rPr>
          <w:sz w:val="22"/>
          <w:szCs w:val="22"/>
        </w:rPr>
      </w:pPr>
      <w:r>
        <w:rPr>
          <w:sz w:val="22"/>
          <w:szCs w:val="22"/>
        </w:rPr>
        <w:t xml:space="preserve">           </w:t>
      </w:r>
      <w:r w:rsidRPr="00CA5C63" w:rsidR="00AC276E">
        <w:rPr>
          <w:sz w:val="22"/>
          <w:szCs w:val="22"/>
        </w:rPr>
        <w:t xml:space="preserve">Total: </w:t>
      </w:r>
      <w:r w:rsidR="00253208">
        <w:rPr>
          <w:sz w:val="22"/>
          <w:szCs w:val="22"/>
        </w:rPr>
        <w:t>5</w:t>
      </w:r>
      <w:r w:rsidR="00F45E87">
        <w:rPr>
          <w:sz w:val="22"/>
          <w:szCs w:val="22"/>
        </w:rPr>
        <w:t>0</w:t>
      </w:r>
      <w:r w:rsidRPr="00CA5C63" w:rsidR="00AC276E">
        <w:rPr>
          <w:sz w:val="22"/>
          <w:szCs w:val="22"/>
        </w:rPr>
        <w:t xml:space="preserve"> minutes</w:t>
      </w:r>
    </w:p>
    <w:p w:rsidRPr="00CA5C63" w:rsidR="00BD1F06" w:rsidP="00502E9C" w:rsidRDefault="00BD1F06" w14:paraId="084DC25C" w14:textId="77777777">
      <w:pPr>
        <w:rPr>
          <w:sz w:val="22"/>
          <w:szCs w:val="22"/>
        </w:rPr>
      </w:pPr>
    </w:p>
    <w:sectPr w:rsidRPr="00CA5C63" w:rsidR="00BD1F06" w:rsidSect="005E7A5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C2CC3"/>
    <w:multiLevelType w:val="hybridMultilevel"/>
    <w:tmpl w:val="5ECE67A6"/>
    <w:lvl w:ilvl="0" w:tplc="8E6069AC">
      <w:numFmt w:val="bullet"/>
      <w:lvlText w:val="-"/>
      <w:lvlJc w:val="left"/>
      <w:pPr>
        <w:tabs>
          <w:tab w:val="num" w:pos="720"/>
        </w:tabs>
        <w:ind w:left="720" w:hanging="360"/>
      </w:pPr>
      <w:rPr>
        <w:rFonts w:hint="default" w:ascii="Times New Roman" w:hAnsi="Times New Roman" w:eastAsia="Times New Roman" w:cs="Times New Roman"/>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0B07429"/>
    <w:multiLevelType w:val="hybridMultilevel"/>
    <w:tmpl w:val="29EA80AC"/>
    <w:lvl w:ilvl="0" w:tplc="45CAB0E0">
      <w:start w:val="60"/>
      <w:numFmt w:val="bullet"/>
      <w:lvlText w:val="-"/>
      <w:lvlJc w:val="left"/>
      <w:pPr>
        <w:ind w:left="360" w:hanging="360"/>
      </w:pPr>
      <w:rPr>
        <w:rFonts w:hint="default" w:ascii="Times New Roman" w:hAnsi="Times New Roman" w:eastAsia="Times New Roman" w:cs="Times New Roman"/>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5BC1558F"/>
    <w:multiLevelType w:val="hybridMultilevel"/>
    <w:tmpl w:val="076E8798"/>
    <w:lvl w:ilvl="0" w:tplc="EB5A7D14">
      <w:start w:val="60"/>
      <w:numFmt w:val="bullet"/>
      <w:lvlText w:val="-"/>
      <w:lvlJc w:val="left"/>
      <w:pPr>
        <w:ind w:left="360" w:hanging="360"/>
      </w:pPr>
      <w:rPr>
        <w:rFonts w:hint="default" w:ascii="Times New Roman" w:hAnsi="Times New Roman" w:eastAsia="Times New Roman" w:cs="Times New Roman"/>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7C657453"/>
    <w:multiLevelType w:val="hybridMultilevel"/>
    <w:tmpl w:val="A7B09976"/>
    <w:lvl w:ilvl="0" w:tplc="7BBC7428">
      <w:start w:val="60"/>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E0C68E4"/>
    <w:multiLevelType w:val="hybridMultilevel"/>
    <w:tmpl w:val="B0789084"/>
    <w:lvl w:ilvl="0" w:tplc="C48225A6">
      <w:start w:val="60"/>
      <w:numFmt w:val="bullet"/>
      <w:lvlText w:val="-"/>
      <w:lvlJc w:val="left"/>
      <w:pPr>
        <w:ind w:left="360" w:hanging="360"/>
      </w:pPr>
      <w:rPr>
        <w:rFonts w:hint="default" w:ascii="Times New Roman" w:hAnsi="Times New Roman" w:eastAsia="Times New Roman" w:cs="Times New Roman"/>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850068081">
    <w:abstractNumId w:val="0"/>
  </w:num>
  <w:num w:numId="2" w16cid:durableId="981539206">
    <w:abstractNumId w:val="4"/>
  </w:num>
  <w:num w:numId="3" w16cid:durableId="1043796261">
    <w:abstractNumId w:val="2"/>
  </w:num>
  <w:num w:numId="4" w16cid:durableId="1958026615">
    <w:abstractNumId w:val="1"/>
  </w:num>
  <w:num w:numId="5" w16cid:durableId="1879126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W3NDYzMzMxtzQ1NLdU0lEKTi0uzszPAykwrAUAQpb92CwAAAA="/>
  </w:docVars>
  <w:rsids>
    <w:rsidRoot w:val="008B647D"/>
    <w:rsid w:val="00020227"/>
    <w:rsid w:val="00033080"/>
    <w:rsid w:val="000A79BE"/>
    <w:rsid w:val="0012639F"/>
    <w:rsid w:val="00147352"/>
    <w:rsid w:val="001E53D3"/>
    <w:rsid w:val="001F748B"/>
    <w:rsid w:val="002352A6"/>
    <w:rsid w:val="00250807"/>
    <w:rsid w:val="00253208"/>
    <w:rsid w:val="002739E3"/>
    <w:rsid w:val="002F5158"/>
    <w:rsid w:val="00340F52"/>
    <w:rsid w:val="003B53F3"/>
    <w:rsid w:val="003D16BC"/>
    <w:rsid w:val="00417EE1"/>
    <w:rsid w:val="00502E9C"/>
    <w:rsid w:val="00507A86"/>
    <w:rsid w:val="00591CA0"/>
    <w:rsid w:val="005B696B"/>
    <w:rsid w:val="005C4A8B"/>
    <w:rsid w:val="005D5991"/>
    <w:rsid w:val="005E0ADE"/>
    <w:rsid w:val="005E7A5D"/>
    <w:rsid w:val="006176E3"/>
    <w:rsid w:val="00621FFB"/>
    <w:rsid w:val="00646738"/>
    <w:rsid w:val="006D4297"/>
    <w:rsid w:val="006E70CF"/>
    <w:rsid w:val="006F2416"/>
    <w:rsid w:val="00802B8C"/>
    <w:rsid w:val="008201A5"/>
    <w:rsid w:val="00832295"/>
    <w:rsid w:val="008948D3"/>
    <w:rsid w:val="008949A2"/>
    <w:rsid w:val="008A211F"/>
    <w:rsid w:val="008A726A"/>
    <w:rsid w:val="008B1A04"/>
    <w:rsid w:val="008B647D"/>
    <w:rsid w:val="008C36BF"/>
    <w:rsid w:val="00926F97"/>
    <w:rsid w:val="0094286C"/>
    <w:rsid w:val="009A37F8"/>
    <w:rsid w:val="009D6B01"/>
    <w:rsid w:val="00A10F0E"/>
    <w:rsid w:val="00A47A71"/>
    <w:rsid w:val="00A51BAC"/>
    <w:rsid w:val="00A860D8"/>
    <w:rsid w:val="00A96C8D"/>
    <w:rsid w:val="00AC276E"/>
    <w:rsid w:val="00AC4415"/>
    <w:rsid w:val="00AF4242"/>
    <w:rsid w:val="00B06DE4"/>
    <w:rsid w:val="00BA45C7"/>
    <w:rsid w:val="00BA45E8"/>
    <w:rsid w:val="00BD1F06"/>
    <w:rsid w:val="00C4355B"/>
    <w:rsid w:val="00C957BE"/>
    <w:rsid w:val="00CA5C63"/>
    <w:rsid w:val="00CB3C37"/>
    <w:rsid w:val="00CB5638"/>
    <w:rsid w:val="00CD5486"/>
    <w:rsid w:val="00CF031A"/>
    <w:rsid w:val="00D507AF"/>
    <w:rsid w:val="00D54696"/>
    <w:rsid w:val="00D81E8C"/>
    <w:rsid w:val="00DA6967"/>
    <w:rsid w:val="00E012A5"/>
    <w:rsid w:val="00E72D3E"/>
    <w:rsid w:val="00E84DC5"/>
    <w:rsid w:val="00EA11F3"/>
    <w:rsid w:val="00EF2427"/>
    <w:rsid w:val="00F0758B"/>
    <w:rsid w:val="00F26EE7"/>
    <w:rsid w:val="00F45E87"/>
    <w:rsid w:val="00F47A13"/>
    <w:rsid w:val="00F54484"/>
    <w:rsid w:val="00FA5335"/>
    <w:rsid w:val="00FE2DE0"/>
    <w:rsid w:val="00FF1735"/>
    <w:rsid w:val="026299AB"/>
    <w:rsid w:val="18CC6E7F"/>
    <w:rsid w:val="1F4A3D2C"/>
    <w:rsid w:val="7AC73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37786"/>
  <w15:chartTrackingRefBased/>
  <w15:docId w15:val="{34AB6E22-E43D-4741-8FF5-CD765DEA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B647D"/>
    <w:rPr>
      <w:rFonts w:ascii="Times New Roman" w:hAnsi="Times New Roman" w:eastAsia="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8B647D"/>
    <w:rPr>
      <w:color w:val="0000FF"/>
      <w:u w:val="single"/>
    </w:rPr>
  </w:style>
  <w:style w:type="paragraph" w:styleId="KitcesArticleText" w:customStyle="1">
    <w:name w:val="Kitces Article Text"/>
    <w:autoRedefine/>
    <w:qFormat/>
    <w:rsid w:val="00A51BAC"/>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fontTable" Target="fontTable.xml" Id="rId14" /><Relationship Type="http://schemas.openxmlformats.org/officeDocument/2006/relationships/hyperlink" Target="https://www.kitces.com/" TargetMode="External" Id="Rff26c9dcc10e444c" /><Relationship Type="http://schemas.openxmlformats.org/officeDocument/2006/relationships/hyperlink" Target="https://wealth.focuspartners.com/" TargetMode="External" Id="Rb8f0d8361e1c463e" /><Relationship Type="http://schemas.openxmlformats.org/officeDocument/2006/relationships/hyperlink" Target="https://www.aicpa.org/press/pressreleases/2017/aicpa-announces-standing-ovation-honors-in-personal-financial-planning.html" TargetMode="External" Id="Rc08302015774419c" /><Relationship Type="http://schemas.openxmlformats.org/officeDocument/2006/relationships/hyperlink" Target="http://www.investmentnews.com/section/40-under-40/2017/profile/24/Jeffrey-Levine" TargetMode="External" Id="Rd36b7c595abe4f08" /><Relationship Type="http://schemas.openxmlformats.org/officeDocument/2006/relationships/hyperlink" Target="https://twitter.com/CPAPlanner" TargetMode="External" Id="R0f6799e707f24856" /><Relationship Type="http://schemas.openxmlformats.org/officeDocument/2006/relationships/hyperlink" Target="http://www.fullyvestedadvice.com/" TargetMode="External" Id="R4a62f059228a4cf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586afe6-2814-4cb5-92c4-af72f2aea325">
      <UserInfo>
        <DisplayName/>
        <AccountId xsi:nil="true"/>
        <AccountType/>
      </UserInfo>
    </SharedWithUsers>
    <lcf76f155ced4ddcb4097134ff3c332f xmlns="c36299cd-0576-437f-98bf-37f8447cf5a8">
      <Terms xmlns="http://schemas.microsoft.com/office/infopath/2007/PartnerControls"/>
    </lcf76f155ced4ddcb4097134ff3c332f>
    <TaxCatchAll xmlns="0586afe6-2814-4cb5-92c4-af72f2aea3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D18DC583A0B64EA14B689F7D8743E3" ma:contentTypeVersion="14" ma:contentTypeDescription="Create a new document." ma:contentTypeScope="" ma:versionID="c5f5a618dc9395d3fa45ade4c55091d9">
  <xsd:schema xmlns:xsd="http://www.w3.org/2001/XMLSchema" xmlns:xs="http://www.w3.org/2001/XMLSchema" xmlns:p="http://schemas.microsoft.com/office/2006/metadata/properties" xmlns:ns2="0586afe6-2814-4cb5-92c4-af72f2aea325" xmlns:ns3="c36299cd-0576-437f-98bf-37f8447cf5a8" targetNamespace="http://schemas.microsoft.com/office/2006/metadata/properties" ma:root="true" ma:fieldsID="f19c799b44dac4550d3b6c90b1f69f9a" ns2:_="" ns3:_="">
    <xsd:import namespace="0586afe6-2814-4cb5-92c4-af72f2aea325"/>
    <xsd:import namespace="c36299cd-0576-437f-98bf-37f8447cf5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6299cd-0576-437f-98bf-37f8447cf5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B3369F-01FB-45D7-992F-D0F12EF00B1D}">
  <ds:schemaRefs>
    <ds:schemaRef ds:uri="http://schemas.microsoft.com/office/2006/metadata/properties"/>
    <ds:schemaRef ds:uri="http://schemas.microsoft.com/office/infopath/2007/PartnerControls"/>
    <ds:schemaRef ds:uri="0586afe6-2814-4cb5-92c4-af72f2aea325"/>
    <ds:schemaRef ds:uri="c36299cd-0576-437f-98bf-37f8447cf5a8"/>
  </ds:schemaRefs>
</ds:datastoreItem>
</file>

<file path=customXml/itemProps2.xml><?xml version="1.0" encoding="utf-8"?>
<ds:datastoreItem xmlns:ds="http://schemas.openxmlformats.org/officeDocument/2006/customXml" ds:itemID="{2BC97048-74F0-49E7-ADBA-E9AC0666AFB4}"/>
</file>

<file path=customXml/itemProps3.xml><?xml version="1.0" encoding="utf-8"?>
<ds:datastoreItem xmlns:ds="http://schemas.openxmlformats.org/officeDocument/2006/customXml" ds:itemID="{6A30B3B4-DE89-4D77-856D-B9FC8133177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MKitces</dc:creator>
  <keywords/>
  <lastModifiedBy>Paula Frey</lastModifiedBy>
  <revision>6</revision>
  <dcterms:created xsi:type="dcterms:W3CDTF">2025-01-23T18:35:00.0000000Z</dcterms:created>
  <dcterms:modified xsi:type="dcterms:W3CDTF">2025-04-10T16:39:44.6611544Z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0x01010025D18DC583A0B64EA14B689F7D8743E3</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